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rsidRPr="00155C3A" w14:paraId="15B76960" w14:textId="77777777" w:rsidTr="004F7EB1">
        <w:trPr>
          <w:cantSplit/>
          <w:trHeight w:hRule="exact" w:val="170"/>
          <w:hidden/>
        </w:trPr>
        <w:tc>
          <w:tcPr>
            <w:tcW w:w="9915" w:type="dxa"/>
          </w:tcPr>
          <w:p w14:paraId="54ECA65F" w14:textId="77777777" w:rsidR="008723DE" w:rsidRPr="00155C3A" w:rsidRDefault="00F458A5" w:rsidP="00E3482C">
            <w:pPr>
              <w:pStyle w:val="DNVGL-Hidden"/>
              <w:rPr>
                <w:rFonts w:ascii="Arial" w:hAnsi="Arial" w:cs="Arial"/>
                <w:sz w:val="13"/>
                <w:szCs w:val="13"/>
              </w:rPr>
            </w:pPr>
            <w:r w:rsidRPr="00155C3A">
              <w:rPr>
                <w:rFonts w:ascii="Arial" w:hAnsi="Arial" w:cs="Arial"/>
                <w:sz w:val="13"/>
                <w:szCs w:val="13"/>
              </w:rPr>
              <w:t>F</w:t>
            </w:r>
            <w:bookmarkStart w:id="0" w:name="_Ref215240315"/>
            <w:bookmarkEnd w:id="0"/>
            <w:r w:rsidRPr="00155C3A">
              <w:rPr>
                <w:rFonts w:ascii="Arial" w:hAnsi="Arial" w:cs="Arial"/>
                <w:sz w:val="13"/>
                <w:szCs w:val="13"/>
              </w:rPr>
              <w:t>ront cover. Data on this page comes from the title page and can be edited there. Delete “Document no. …” if you do not use it.</w:t>
            </w:r>
          </w:p>
        </w:tc>
      </w:tr>
      <w:tr w:rsidR="000B08E7" w:rsidRPr="00155C3A" w14:paraId="01DC228E" w14:textId="77777777" w:rsidTr="004F7EB1">
        <w:trPr>
          <w:cantSplit/>
        </w:trPr>
        <w:tc>
          <w:tcPr>
            <w:tcW w:w="9915" w:type="dxa"/>
            <w:vAlign w:val="center"/>
          </w:tcPr>
          <w:p w14:paraId="7B0B76DE" w14:textId="3142226D" w:rsidR="008723DE" w:rsidRPr="00155C3A" w:rsidRDefault="00E444EC" w:rsidP="00E3482C">
            <w:pPr>
              <w:pStyle w:val="DNVGL-Details"/>
              <w:rPr>
                <w:rFonts w:ascii="Arial" w:hAnsi="Arial" w:cs="Arial"/>
                <w:b/>
                <w:bCs/>
              </w:rPr>
            </w:pPr>
            <w:r w:rsidRPr="00155C3A">
              <w:rPr>
                <w:rFonts w:ascii="Arial" w:hAnsi="Arial" w:cs="Arial"/>
                <w:noProof/>
                <w:sz w:val="24"/>
                <w:szCs w:val="24"/>
              </w:rPr>
              <w:drawing>
                <wp:anchor distT="0" distB="0" distL="114300" distR="114300" simplePos="0" relativeHeight="251661312" behindDoc="0" locked="0" layoutInCell="1" allowOverlap="1" wp14:anchorId="24BD8679" wp14:editId="3E536A01">
                  <wp:simplePos x="0" y="0"/>
                  <wp:positionH relativeFrom="column">
                    <wp:posOffset>1872615</wp:posOffset>
                  </wp:positionH>
                  <wp:positionV relativeFrom="page">
                    <wp:posOffset>0</wp:posOffset>
                  </wp:positionV>
                  <wp:extent cx="2028825" cy="1949450"/>
                  <wp:effectExtent l="0" t="0" r="9525" b="0"/>
                  <wp:wrapThrough wrapText="bothSides">
                    <wp:wrapPolygon edited="0">
                      <wp:start x="9127" y="0"/>
                      <wp:lineTo x="7301" y="1055"/>
                      <wp:lineTo x="4868" y="2955"/>
                      <wp:lineTo x="4868" y="3799"/>
                      <wp:lineTo x="4056" y="5488"/>
                      <wp:lineTo x="3854" y="7177"/>
                      <wp:lineTo x="4462" y="10554"/>
                      <wp:lineTo x="4665" y="11187"/>
                      <wp:lineTo x="7707" y="13931"/>
                      <wp:lineTo x="0" y="16675"/>
                      <wp:lineTo x="0" y="20474"/>
                      <wp:lineTo x="608" y="20685"/>
                      <wp:lineTo x="14806" y="21319"/>
                      <wp:lineTo x="16225" y="21319"/>
                      <wp:lineTo x="21296" y="20685"/>
                      <wp:lineTo x="21499" y="20263"/>
                      <wp:lineTo x="20890" y="17097"/>
                      <wp:lineTo x="17442" y="15620"/>
                      <wp:lineTo x="14197" y="13931"/>
                      <wp:lineTo x="17442" y="10976"/>
                      <wp:lineTo x="18051" y="6965"/>
                      <wp:lineTo x="17239" y="3588"/>
                      <wp:lineTo x="12777" y="0"/>
                      <wp:lineTo x="9127" y="0"/>
                    </wp:wrapPolygon>
                  </wp:wrapThrough>
                  <wp:docPr id="1970694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94408" name="Picture 197069440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28825" cy="1949450"/>
                          </a:xfrm>
                          <a:prstGeom prst="rect">
                            <a:avLst/>
                          </a:prstGeom>
                        </pic:spPr>
                      </pic:pic>
                    </a:graphicData>
                  </a:graphic>
                  <wp14:sizeRelH relativeFrom="page">
                    <wp14:pctWidth>0</wp14:pctWidth>
                  </wp14:sizeRelH>
                  <wp14:sizeRelV relativeFrom="page">
                    <wp14:pctHeight>0</wp14:pctHeight>
                  </wp14:sizeRelV>
                </wp:anchor>
              </w:drawing>
            </w:r>
          </w:p>
        </w:tc>
      </w:tr>
    </w:tbl>
    <w:p w14:paraId="75265775" w14:textId="21412745" w:rsidR="008723DE" w:rsidRPr="00155C3A" w:rsidRDefault="00FA5900">
      <w:pPr>
        <w:rPr>
          <w:rFonts w:ascii="Arial" w:hAnsi="Arial" w:cs="Arial"/>
        </w:rPr>
        <w:sectPr w:rsidR="008723DE" w:rsidRPr="00155C3A" w:rsidSect="008723DE">
          <w:headerReference w:type="default" r:id="rId14"/>
          <w:headerReference w:type="first" r:id="rId15"/>
          <w:footerReference w:type="first" r:id="rId16"/>
          <w:pgSz w:w="12240" w:h="15840"/>
          <w:pgMar w:top="1757" w:right="1134" w:bottom="1361" w:left="1191" w:header="774" w:footer="567" w:gutter="0"/>
          <w:cols w:space="708"/>
          <w:titlePg/>
          <w:docGrid w:linePitch="360"/>
        </w:sectPr>
      </w:pPr>
      <w:r w:rsidRPr="00155C3A">
        <w:rPr>
          <w:rFonts w:ascii="Arial" w:hAnsi="Arial" w:cs="Arial"/>
          <w:noProof/>
          <w:sz w:val="24"/>
          <w:szCs w:val="24"/>
        </w:rPr>
        <mc:AlternateContent>
          <mc:Choice Requires="wps">
            <w:drawing>
              <wp:anchor distT="0" distB="0" distL="114300" distR="114300" simplePos="0" relativeHeight="251665408" behindDoc="0" locked="0" layoutInCell="1" allowOverlap="1" wp14:anchorId="5B8C3817" wp14:editId="4A0352B2">
                <wp:simplePos x="0" y="0"/>
                <wp:positionH relativeFrom="margin">
                  <wp:posOffset>691515</wp:posOffset>
                </wp:positionH>
                <wp:positionV relativeFrom="page">
                  <wp:posOffset>8801100</wp:posOffset>
                </wp:positionV>
                <wp:extent cx="1988820" cy="563880"/>
                <wp:effectExtent l="0" t="0" r="0" b="7620"/>
                <wp:wrapNone/>
                <wp:docPr id="1665931455" name="Text Box 3"/>
                <wp:cNvGraphicFramePr/>
                <a:graphic xmlns:a="http://schemas.openxmlformats.org/drawingml/2006/main">
                  <a:graphicData uri="http://schemas.microsoft.com/office/word/2010/wordprocessingShape">
                    <wps:wsp>
                      <wps:cNvSpPr txBox="1"/>
                      <wps:spPr>
                        <a:xfrm>
                          <a:off x="0" y="0"/>
                          <a:ext cx="1988820" cy="563880"/>
                        </a:xfrm>
                        <a:prstGeom prst="rect">
                          <a:avLst/>
                        </a:prstGeom>
                        <a:noFill/>
                        <a:ln w="6350">
                          <a:noFill/>
                        </a:ln>
                      </wps:spPr>
                      <wps:txbx>
                        <w:txbxContent>
                          <w:p w14:paraId="17ED0C19" w14:textId="6BD41023" w:rsidR="00FA5900" w:rsidRPr="00FA5900" w:rsidRDefault="00FA5900" w:rsidP="00FA5900">
                            <w:pPr>
                              <w:rPr>
                                <w:rFonts w:cs="Arial"/>
                                <w:sz w:val="24"/>
                                <w:szCs w:val="24"/>
                              </w:rPr>
                            </w:pPr>
                            <w:r w:rsidRPr="00FA5900">
                              <w:rPr>
                                <w:rFonts w:ascii="Helvetica Neue" w:hAnsi="Helvetica Neue"/>
                                <w:sz w:val="24"/>
                                <w:szCs w:val="24"/>
                              </w:rPr>
                              <w:t>May 2026</w:t>
                            </w:r>
                          </w:p>
                          <w:p w14:paraId="7BF5D6DF" w14:textId="77777777" w:rsidR="00FA5900" w:rsidRPr="002B6767" w:rsidRDefault="00FA5900" w:rsidP="00FA5900">
                            <w:pPr>
                              <w:rPr>
                                <w:rFonts w:ascii="Helvetica" w:hAnsi="Helvetica"/>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8C3817" id="_x0000_t202" coordsize="21600,21600" o:spt="202" path="m,l,21600r21600,l21600,xe">
                <v:stroke joinstyle="miter"/>
                <v:path gradientshapeok="t" o:connecttype="rect"/>
              </v:shapetype>
              <v:shape id="Text Box 3" o:spid="_x0000_s1026" type="#_x0000_t202" style="position:absolute;margin-left:54.45pt;margin-top:693pt;width:156.6pt;height:44.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" filled="f" stroked="f" strokeweight=".5pt">
                <v:textbox>
                  <w:txbxContent>
                    <w:p w14:paraId="17ED0C19" w14:textId="6BD41023" w:rsidR="00FA5900" w:rsidRPr="00FA5900" w:rsidRDefault="00FA5900" w:rsidP="00FA5900">
                      <w:pPr>
                        <w:rPr>
                          <w:rFonts w:cs="Arial"/>
                          <w:sz w:val="24"/>
                          <w:szCs w:val="24"/>
                        </w:rPr>
                      </w:pPr>
                      <w:r w:rsidRPr="00FA5900">
                        <w:rPr>
                          <w:rFonts w:ascii="Helvetica Neue" w:hAnsi="Helvetica Neue"/>
                          <w:sz w:val="24"/>
                          <w:szCs w:val="24"/>
                        </w:rPr>
                        <w:t>May 2026</w:t>
                      </w:r>
                    </w:p>
                    <w:p w14:paraId="7BF5D6DF" w14:textId="77777777" w:rsidR="00FA5900" w:rsidRPr="002B6767" w:rsidRDefault="00FA5900" w:rsidP="00FA5900">
                      <w:pPr>
                        <w:rPr>
                          <w:rFonts w:ascii="Helvetica" w:hAnsi="Helvetica"/>
                          <w:sz w:val="40"/>
                          <w:szCs w:val="40"/>
                        </w:rPr>
                      </w:pPr>
                    </w:p>
                  </w:txbxContent>
                </v:textbox>
                <w10:wrap anchorx="margin" anchory="page"/>
              </v:shape>
            </w:pict>
          </mc:Fallback>
        </mc:AlternateContent>
      </w:r>
      <w:r w:rsidR="00CB7438" w:rsidRPr="00155C3A">
        <w:rPr>
          <w:rFonts w:ascii="Arial" w:hAnsi="Arial" w:cs="Arial"/>
          <w:noProof/>
          <w:sz w:val="24"/>
          <w:szCs w:val="24"/>
        </w:rPr>
        <mc:AlternateContent>
          <mc:Choice Requires="wps">
            <w:drawing>
              <wp:anchor distT="0" distB="0" distL="114300" distR="114300" simplePos="0" relativeHeight="251663360" behindDoc="0" locked="0" layoutInCell="1" allowOverlap="1" wp14:anchorId="2EA34029" wp14:editId="3BC88128">
                <wp:simplePos x="0" y="0"/>
                <wp:positionH relativeFrom="margin">
                  <wp:posOffset>542925</wp:posOffset>
                </wp:positionH>
                <wp:positionV relativeFrom="page">
                  <wp:align>center</wp:align>
                </wp:positionV>
                <wp:extent cx="5334000" cy="1993900"/>
                <wp:effectExtent l="0" t="0" r="0" b="6350"/>
                <wp:wrapNone/>
                <wp:docPr id="774123406" name="Text Box 3"/>
                <wp:cNvGraphicFramePr/>
                <a:graphic xmlns:a="http://schemas.openxmlformats.org/drawingml/2006/main">
                  <a:graphicData uri="http://schemas.microsoft.com/office/word/2010/wordprocessingShape">
                    <wps:wsp>
                      <wps:cNvSpPr txBox="1"/>
                      <wps:spPr>
                        <a:xfrm>
                          <a:off x="0" y="0"/>
                          <a:ext cx="5334000" cy="1993900"/>
                        </a:xfrm>
                        <a:prstGeom prst="rect">
                          <a:avLst/>
                        </a:prstGeom>
                        <a:noFill/>
                        <a:ln w="6350">
                          <a:noFill/>
                        </a:ln>
                      </wps:spPr>
                      <wps:txbx>
                        <w:txbxContent>
                          <w:p w14:paraId="580D4A6A" w14:textId="2E5A4BE0" w:rsidR="005605A9" w:rsidRPr="00CB7438" w:rsidRDefault="005605A9" w:rsidP="005605A9">
                            <w:pPr>
                              <w:rPr>
                                <w:rFonts w:ascii="Helvetica Neue" w:hAnsi="Helvetica Neue"/>
                                <w:b/>
                                <w:bCs/>
                                <w:sz w:val="74"/>
                                <w:szCs w:val="360"/>
                              </w:rPr>
                            </w:pPr>
                            <w:r w:rsidRPr="005605A9">
                              <w:rPr>
                                <w:rFonts w:ascii="Helvetica Neue" w:hAnsi="Helvetica Neue"/>
                                <w:b/>
                                <w:bCs/>
                                <w:sz w:val="74"/>
                                <w:szCs w:val="360"/>
                              </w:rPr>
                              <w:t>Non</w:t>
                            </w:r>
                            <w:r w:rsidR="00E06456">
                              <w:rPr>
                                <w:rFonts w:ascii="Helvetica Neue" w:hAnsi="Helvetica Neue"/>
                                <w:b/>
                                <w:bCs/>
                                <w:sz w:val="74"/>
                                <w:szCs w:val="360"/>
                              </w:rPr>
                              <w:t>-</w:t>
                            </w:r>
                            <w:r w:rsidRPr="005605A9">
                              <w:rPr>
                                <w:rFonts w:ascii="Helvetica Neue" w:hAnsi="Helvetica Neue"/>
                                <w:b/>
                                <w:bCs/>
                                <w:sz w:val="74"/>
                                <w:szCs w:val="360"/>
                              </w:rPr>
                              <w:t xml:space="preserve">Technical Summary </w:t>
                            </w:r>
                          </w:p>
                          <w:p w14:paraId="6832E8E8" w14:textId="77777777" w:rsidR="00137B35" w:rsidRDefault="00137B35" w:rsidP="00137B35">
                            <w:pPr>
                              <w:spacing w:line="360" w:lineRule="auto"/>
                              <w:rPr>
                                <w:rFonts w:ascii="Helvetica Neue" w:hAnsi="Helvetica Neue"/>
                                <w:b/>
                                <w:bCs/>
                                <w:sz w:val="24"/>
                                <w:szCs w:val="24"/>
                              </w:rPr>
                            </w:pPr>
                          </w:p>
                          <w:p w14:paraId="07DA6C6B" w14:textId="591D92E9" w:rsidR="005605A9" w:rsidRPr="00FA5900" w:rsidRDefault="005605A9" w:rsidP="00137B35">
                            <w:pPr>
                              <w:spacing w:line="360" w:lineRule="auto"/>
                              <w:rPr>
                                <w:rFonts w:ascii="Helvetica Neue" w:hAnsi="Helvetica Neue"/>
                                <w:b/>
                                <w:bCs/>
                                <w:sz w:val="26"/>
                                <w:szCs w:val="28"/>
                              </w:rPr>
                            </w:pPr>
                            <w:r w:rsidRPr="00FA5900">
                              <w:rPr>
                                <w:rFonts w:ascii="Helvetica Neue" w:hAnsi="Helvetica Neue" w:cs="Arial"/>
                                <w:b/>
                                <w:bCs/>
                                <w:sz w:val="26"/>
                                <w:szCs w:val="28"/>
                              </w:rPr>
                              <w:t>Dun</w:t>
                            </w:r>
                            <w:r w:rsidR="00950535" w:rsidRPr="00FA5900">
                              <w:rPr>
                                <w:rFonts w:cs="Arial"/>
                                <w:b/>
                                <w:bCs/>
                                <w:sz w:val="28"/>
                                <w:szCs w:val="28"/>
                                <w:lang w:val="ro-RO"/>
                              </w:rPr>
                              <w:t>ă</w:t>
                            </w:r>
                            <w:r w:rsidRPr="00FA5900">
                              <w:rPr>
                                <w:rFonts w:ascii="Helvetica Neue" w:hAnsi="Helvetica Neue" w:cs="Arial"/>
                                <w:b/>
                                <w:bCs/>
                                <w:sz w:val="26"/>
                                <w:szCs w:val="28"/>
                              </w:rPr>
                              <w:t>rea East Wind Farm – Constanța County</w:t>
                            </w:r>
                            <w:r w:rsidR="00950535" w:rsidRPr="00FA5900">
                              <w:rPr>
                                <w:rFonts w:ascii="Helvetica Neue" w:hAnsi="Helvetica Neue" w:cs="Arial"/>
                                <w:b/>
                                <w:bCs/>
                                <w:sz w:val="26"/>
                                <w:szCs w:val="28"/>
                              </w:rPr>
                              <w:t>,</w:t>
                            </w:r>
                            <w:r w:rsidRPr="00FA5900">
                              <w:rPr>
                                <w:rFonts w:ascii="Helvetica Neue" w:hAnsi="Helvetica Neue" w:cs="Arial"/>
                                <w:b/>
                                <w:bCs/>
                                <w:sz w:val="26"/>
                                <w:szCs w:val="28"/>
                              </w:rPr>
                              <w:t xml:space="preserve"> Romania</w:t>
                            </w:r>
                          </w:p>
                          <w:p w14:paraId="3BA9C646" w14:textId="5FC6D118" w:rsidR="00CB7438" w:rsidRPr="00137B35" w:rsidRDefault="00CB7438" w:rsidP="00137B35">
                            <w:pPr>
                              <w:spacing w:line="360" w:lineRule="auto"/>
                              <w:rPr>
                                <w:rFonts w:ascii="Helvetica Neue" w:hAnsi="Helvetica Neue" w:cs="Arial"/>
                                <w:b/>
                                <w:bCs/>
                                <w:sz w:val="24"/>
                                <w:szCs w:val="24"/>
                              </w:rPr>
                            </w:pPr>
                            <w:proofErr w:type="spellStart"/>
                            <w:r w:rsidRPr="00137B35">
                              <w:rPr>
                                <w:rFonts w:ascii="Helvetica Neue" w:hAnsi="Helvetica Neue"/>
                                <w:b/>
                                <w:bCs/>
                                <w:sz w:val="24"/>
                                <w:szCs w:val="24"/>
                              </w:rPr>
                              <w:t>Mifdmar</w:t>
                            </w:r>
                            <w:proofErr w:type="spellEnd"/>
                            <w:r w:rsidRPr="00137B35">
                              <w:rPr>
                                <w:rFonts w:ascii="Helvetica Neue" w:hAnsi="Helvetica Neue"/>
                                <w:b/>
                                <w:bCs/>
                                <w:sz w:val="24"/>
                                <w:szCs w:val="24"/>
                              </w:rPr>
                              <w:t xml:space="preserve"> </w:t>
                            </w:r>
                            <w:proofErr w:type="spellStart"/>
                            <w:r w:rsidRPr="00137B35">
                              <w:rPr>
                                <w:rFonts w:ascii="Helvetica Neue" w:hAnsi="Helvetica Neue"/>
                                <w:b/>
                                <w:bCs/>
                                <w:sz w:val="24"/>
                                <w:szCs w:val="24"/>
                              </w:rPr>
                              <w:t>Callatis</w:t>
                            </w:r>
                            <w:proofErr w:type="spellEnd"/>
                            <w:r w:rsidRPr="00137B35">
                              <w:rPr>
                                <w:rFonts w:ascii="Helvetica Neue" w:hAnsi="Helvetica Neue"/>
                                <w:b/>
                                <w:bCs/>
                                <w:sz w:val="24"/>
                                <w:szCs w:val="24"/>
                              </w:rPr>
                              <w:t xml:space="preserve"> </w:t>
                            </w:r>
                            <w:r w:rsidR="00950535">
                              <w:rPr>
                                <w:rFonts w:ascii="Helvetica Neue" w:hAnsi="Helvetica Neue"/>
                                <w:b/>
                                <w:bCs/>
                                <w:sz w:val="24"/>
                                <w:szCs w:val="24"/>
                              </w:rPr>
                              <w:t>S.R.L</w:t>
                            </w:r>
                          </w:p>
                          <w:p w14:paraId="617DF37A" w14:textId="77777777" w:rsidR="005605A9" w:rsidRDefault="005605A9" w:rsidP="005605A9">
                            <w:pPr>
                              <w:rPr>
                                <w:rFonts w:cs="Arial"/>
                                <w:b/>
                                <w:bCs/>
                              </w:rPr>
                            </w:pPr>
                          </w:p>
                          <w:p w14:paraId="37F26869" w14:textId="77777777" w:rsidR="005605A9" w:rsidRPr="002B6767" w:rsidRDefault="005605A9" w:rsidP="005605A9">
                            <w:pPr>
                              <w:rPr>
                                <w:rFonts w:ascii="Helvetica" w:hAnsi="Helvetica"/>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34029" id="_x0000_s1027" type="#_x0000_t202" style="position:absolute;margin-left:42.75pt;margin-top:0;width:420pt;height:157pt;z-index:251663360;visibility:visible;mso-wrap-style:squar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" filled="f" stroked="f" strokeweight=".5pt">
                <v:textbox>
                  <w:txbxContent>
                    <w:p w14:paraId="580D4A6A" w14:textId="2E5A4BE0" w:rsidR="005605A9" w:rsidRPr="00CB7438" w:rsidRDefault="005605A9" w:rsidP="005605A9">
                      <w:pPr>
                        <w:rPr>
                          <w:rFonts w:ascii="Helvetica Neue" w:hAnsi="Helvetica Neue"/>
                          <w:b/>
                          <w:bCs/>
                          <w:sz w:val="74"/>
                          <w:szCs w:val="360"/>
                        </w:rPr>
                      </w:pPr>
                      <w:r w:rsidRPr="005605A9">
                        <w:rPr>
                          <w:rFonts w:ascii="Helvetica Neue" w:hAnsi="Helvetica Neue"/>
                          <w:b/>
                          <w:bCs/>
                          <w:sz w:val="74"/>
                          <w:szCs w:val="360"/>
                        </w:rPr>
                        <w:t>Non</w:t>
                      </w:r>
                      <w:r w:rsidR="00E06456">
                        <w:rPr>
                          <w:rFonts w:ascii="Helvetica Neue" w:hAnsi="Helvetica Neue"/>
                          <w:b/>
                          <w:bCs/>
                          <w:sz w:val="74"/>
                          <w:szCs w:val="360"/>
                        </w:rPr>
                        <w:t>-</w:t>
                      </w:r>
                      <w:r w:rsidRPr="005605A9">
                        <w:rPr>
                          <w:rFonts w:ascii="Helvetica Neue" w:hAnsi="Helvetica Neue"/>
                          <w:b/>
                          <w:bCs/>
                          <w:sz w:val="74"/>
                          <w:szCs w:val="360"/>
                        </w:rPr>
                        <w:t xml:space="preserve">Technical Summary </w:t>
                      </w:r>
                    </w:p>
                    <w:p w14:paraId="6832E8E8" w14:textId="77777777" w:rsidR="00137B35" w:rsidRDefault="00137B35" w:rsidP="00137B35">
                      <w:pPr>
                        <w:spacing w:line="360" w:lineRule="auto"/>
                        <w:rPr>
                          <w:rFonts w:ascii="Helvetica Neue" w:hAnsi="Helvetica Neue"/>
                          <w:b/>
                          <w:bCs/>
                          <w:sz w:val="24"/>
                          <w:szCs w:val="24"/>
                        </w:rPr>
                      </w:pPr>
                    </w:p>
                    <w:p w14:paraId="07DA6C6B" w14:textId="591D92E9" w:rsidR="005605A9" w:rsidRPr="00FA5900" w:rsidRDefault="005605A9" w:rsidP="00137B35">
                      <w:pPr>
                        <w:spacing w:line="360" w:lineRule="auto"/>
                        <w:rPr>
                          <w:rFonts w:ascii="Helvetica Neue" w:hAnsi="Helvetica Neue"/>
                          <w:b/>
                          <w:bCs/>
                          <w:sz w:val="26"/>
                          <w:szCs w:val="28"/>
                        </w:rPr>
                      </w:pPr>
                      <w:r w:rsidRPr="00FA5900">
                        <w:rPr>
                          <w:rFonts w:ascii="Helvetica Neue" w:hAnsi="Helvetica Neue" w:cs="Arial"/>
                          <w:b/>
                          <w:bCs/>
                          <w:sz w:val="26"/>
                          <w:szCs w:val="28"/>
                        </w:rPr>
                        <w:t>Dun</w:t>
                      </w:r>
                      <w:r w:rsidR="00950535" w:rsidRPr="00FA5900">
                        <w:rPr>
                          <w:rFonts w:cs="Arial"/>
                          <w:b/>
                          <w:bCs/>
                          <w:sz w:val="28"/>
                          <w:szCs w:val="28"/>
                          <w:lang w:val="ro-RO"/>
                        </w:rPr>
                        <w:t>ă</w:t>
                      </w:r>
                      <w:r w:rsidRPr="00FA5900">
                        <w:rPr>
                          <w:rFonts w:ascii="Helvetica Neue" w:hAnsi="Helvetica Neue" w:cs="Arial"/>
                          <w:b/>
                          <w:bCs/>
                          <w:sz w:val="26"/>
                          <w:szCs w:val="28"/>
                        </w:rPr>
                        <w:t>rea East Wind Farm – Constanța County</w:t>
                      </w:r>
                      <w:r w:rsidR="00950535" w:rsidRPr="00FA5900">
                        <w:rPr>
                          <w:rFonts w:ascii="Helvetica Neue" w:hAnsi="Helvetica Neue" w:cs="Arial"/>
                          <w:b/>
                          <w:bCs/>
                          <w:sz w:val="26"/>
                          <w:szCs w:val="28"/>
                        </w:rPr>
                        <w:t>,</w:t>
                      </w:r>
                      <w:r w:rsidRPr="00FA5900">
                        <w:rPr>
                          <w:rFonts w:ascii="Helvetica Neue" w:hAnsi="Helvetica Neue" w:cs="Arial"/>
                          <w:b/>
                          <w:bCs/>
                          <w:sz w:val="26"/>
                          <w:szCs w:val="28"/>
                        </w:rPr>
                        <w:t xml:space="preserve"> Romania</w:t>
                      </w:r>
                    </w:p>
                    <w:p w14:paraId="3BA9C646" w14:textId="5FC6D118" w:rsidR="00CB7438" w:rsidRPr="00137B35" w:rsidRDefault="00CB7438" w:rsidP="00137B35">
                      <w:pPr>
                        <w:spacing w:line="360" w:lineRule="auto"/>
                        <w:rPr>
                          <w:rFonts w:ascii="Helvetica Neue" w:hAnsi="Helvetica Neue" w:cs="Arial"/>
                          <w:b/>
                          <w:bCs/>
                          <w:sz w:val="24"/>
                          <w:szCs w:val="24"/>
                        </w:rPr>
                      </w:pPr>
                      <w:proofErr w:type="spellStart"/>
                      <w:r w:rsidRPr="00137B35">
                        <w:rPr>
                          <w:rFonts w:ascii="Helvetica Neue" w:hAnsi="Helvetica Neue"/>
                          <w:b/>
                          <w:bCs/>
                          <w:sz w:val="24"/>
                          <w:szCs w:val="24"/>
                        </w:rPr>
                        <w:t>Mifdmar</w:t>
                      </w:r>
                      <w:proofErr w:type="spellEnd"/>
                      <w:r w:rsidRPr="00137B35">
                        <w:rPr>
                          <w:rFonts w:ascii="Helvetica Neue" w:hAnsi="Helvetica Neue"/>
                          <w:b/>
                          <w:bCs/>
                          <w:sz w:val="24"/>
                          <w:szCs w:val="24"/>
                        </w:rPr>
                        <w:t xml:space="preserve"> </w:t>
                      </w:r>
                      <w:proofErr w:type="spellStart"/>
                      <w:r w:rsidRPr="00137B35">
                        <w:rPr>
                          <w:rFonts w:ascii="Helvetica Neue" w:hAnsi="Helvetica Neue"/>
                          <w:b/>
                          <w:bCs/>
                          <w:sz w:val="24"/>
                          <w:szCs w:val="24"/>
                        </w:rPr>
                        <w:t>Callatis</w:t>
                      </w:r>
                      <w:proofErr w:type="spellEnd"/>
                      <w:r w:rsidRPr="00137B35">
                        <w:rPr>
                          <w:rFonts w:ascii="Helvetica Neue" w:hAnsi="Helvetica Neue"/>
                          <w:b/>
                          <w:bCs/>
                          <w:sz w:val="24"/>
                          <w:szCs w:val="24"/>
                        </w:rPr>
                        <w:t xml:space="preserve"> </w:t>
                      </w:r>
                      <w:r w:rsidR="00950535">
                        <w:rPr>
                          <w:rFonts w:ascii="Helvetica Neue" w:hAnsi="Helvetica Neue"/>
                          <w:b/>
                          <w:bCs/>
                          <w:sz w:val="24"/>
                          <w:szCs w:val="24"/>
                        </w:rPr>
                        <w:t>S.R.L</w:t>
                      </w:r>
                    </w:p>
                    <w:p w14:paraId="617DF37A" w14:textId="77777777" w:rsidR="005605A9" w:rsidRDefault="005605A9" w:rsidP="005605A9">
                      <w:pPr>
                        <w:rPr>
                          <w:rFonts w:cs="Arial"/>
                          <w:b/>
                          <w:bCs/>
                        </w:rPr>
                      </w:pPr>
                    </w:p>
                    <w:p w14:paraId="37F26869" w14:textId="77777777" w:rsidR="005605A9" w:rsidRPr="002B6767" w:rsidRDefault="005605A9" w:rsidP="005605A9">
                      <w:pPr>
                        <w:rPr>
                          <w:rFonts w:ascii="Helvetica" w:hAnsi="Helvetica"/>
                          <w:sz w:val="40"/>
                          <w:szCs w:val="40"/>
                        </w:rPr>
                      </w:pPr>
                    </w:p>
                  </w:txbxContent>
                </v:textbox>
                <w10:wrap anchorx="margin" anchory="page"/>
              </v:shape>
            </w:pict>
          </mc:Fallback>
        </mc:AlternateContent>
      </w:r>
      <w:r w:rsidR="00E7554A" w:rsidRPr="00155C3A">
        <w:rPr>
          <w:rFonts w:ascii="Arial" w:hAnsi="Arial" w:cs="Arial"/>
          <w:noProof/>
          <w:sz w:val="24"/>
          <w:szCs w:val="24"/>
        </w:rPr>
        <w:drawing>
          <wp:anchor distT="0" distB="0" distL="114300" distR="114300" simplePos="0" relativeHeight="251659264" behindDoc="1" locked="0" layoutInCell="1" allowOverlap="1" wp14:anchorId="591812D4" wp14:editId="15DE345E">
            <wp:simplePos x="0" y="0"/>
            <wp:positionH relativeFrom="page">
              <wp:align>left</wp:align>
            </wp:positionH>
            <wp:positionV relativeFrom="page">
              <wp:posOffset>-810895</wp:posOffset>
            </wp:positionV>
            <wp:extent cx="7734300" cy="11563321"/>
            <wp:effectExtent l="0" t="0" r="0" b="0"/>
            <wp:wrapNone/>
            <wp:docPr id="303042882" name="Picture 4" descr="A close-up of a wind turbine&#10;&#10;Description automatically generated">
              <a:extLst xmlns:a="http://schemas.openxmlformats.org/drawingml/2006/main">
                <a:ext uri="{FF2B5EF4-FFF2-40B4-BE49-F238E27FC236}">
                  <a16:creationId xmlns:a16="http://schemas.microsoft.com/office/drawing/2014/main" id="{7D50A9AE-446E-06AF-EFB7-3C1F359BB3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wind turbine&#10;&#10;Description automatically generated">
                      <a:extLst>
                        <a:ext uri="{FF2B5EF4-FFF2-40B4-BE49-F238E27FC236}">
                          <a16:creationId xmlns:a16="http://schemas.microsoft.com/office/drawing/2014/main" id="{7D50A9AE-446E-06AF-EFB7-3C1F359BB3DA}"/>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t="-628" b="-6562"/>
                    <a:stretch/>
                  </pic:blipFill>
                  <pic:spPr bwMode="auto">
                    <a:xfrm>
                      <a:off x="0" y="0"/>
                      <a:ext cx="7734300" cy="1156332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89511B" w14:textId="01331F51" w:rsidR="008723DE" w:rsidRPr="00155C3A" w:rsidRDefault="008723DE">
      <w:pPr>
        <w:rPr>
          <w:rFonts w:ascii="Arial" w:hAnsi="Arial" w:cs="Arial"/>
          <w:sz w:val="2"/>
        </w:rPr>
      </w:pPr>
    </w:p>
    <w:bookmarkStart w:id="1" w:name="_preHiddenText10022" w:displacedByCustomXml="next"/>
    <w:sdt>
      <w:sdtPr>
        <w:rPr>
          <w:rFonts w:ascii="Arial" w:eastAsiaTheme="minorEastAsia" w:hAnsi="Arial" w:cs="Arial"/>
          <w:color w:val="auto"/>
          <w:sz w:val="22"/>
          <w:szCs w:val="22"/>
        </w:rPr>
        <w:id w:val="-259836198"/>
        <w:docPartObj>
          <w:docPartGallery w:val="Table of Contents"/>
          <w:docPartUnique/>
        </w:docPartObj>
      </w:sdtPr>
      <w:sdtEndPr>
        <w:rPr>
          <w:b/>
          <w:bCs/>
          <w:noProof/>
        </w:rPr>
      </w:sdtEndPr>
      <w:sdtContent>
        <w:p w14:paraId="258408CD" w14:textId="5EEAFEE9" w:rsidR="00155C3A" w:rsidRPr="00155C3A" w:rsidRDefault="00155C3A">
          <w:pPr>
            <w:pStyle w:val="TOCHeading"/>
            <w:rPr>
              <w:rFonts w:ascii="Arial" w:hAnsi="Arial" w:cs="Arial"/>
            </w:rPr>
          </w:pPr>
          <w:r w:rsidRPr="00155C3A">
            <w:rPr>
              <w:rFonts w:ascii="Arial" w:hAnsi="Arial" w:cs="Arial"/>
            </w:rPr>
            <w:t>Contents</w:t>
          </w:r>
        </w:p>
        <w:p w14:paraId="32A3897A" w14:textId="24BD9E9C" w:rsidR="00191418" w:rsidRDefault="00155C3A">
          <w:pPr>
            <w:pStyle w:val="TOC1"/>
            <w:rPr>
              <w:caps w:val="0"/>
              <w:kern w:val="2"/>
              <w:sz w:val="24"/>
              <w:szCs w:val="24"/>
              <w:lang w:eastAsia="en-US"/>
              <w14:ligatures w14:val="standardContextual"/>
            </w:rPr>
          </w:pPr>
          <w:r w:rsidRPr="00155C3A">
            <w:rPr>
              <w:rFonts w:ascii="Arial" w:hAnsi="Arial" w:cs="Arial"/>
            </w:rPr>
            <w:fldChar w:fldCharType="begin"/>
          </w:r>
          <w:r w:rsidRPr="00155C3A">
            <w:rPr>
              <w:rFonts w:ascii="Arial" w:hAnsi="Arial" w:cs="Arial"/>
            </w:rPr>
            <w:instrText xml:space="preserve"> TOC \o "1-3" \h \z \u </w:instrText>
          </w:r>
          <w:r w:rsidRPr="00155C3A">
            <w:rPr>
              <w:rFonts w:ascii="Arial" w:hAnsi="Arial" w:cs="Arial"/>
            </w:rPr>
            <w:fldChar w:fldCharType="separate"/>
          </w:r>
          <w:hyperlink w:anchor="_Toc229650166" w:history="1">
            <w:r w:rsidR="00191418" w:rsidRPr="00EB75CA">
              <w:rPr>
                <w:rStyle w:val="Hyperlink"/>
                <w:rFonts w:ascii="Arial" w:hAnsi="Arial" w:cs="Arial"/>
              </w:rPr>
              <w:t>Purpose of the Non-Technical Summary</w:t>
            </w:r>
            <w:r w:rsidR="00191418">
              <w:rPr>
                <w:webHidden/>
              </w:rPr>
              <w:tab/>
            </w:r>
            <w:r w:rsidR="00191418">
              <w:rPr>
                <w:webHidden/>
              </w:rPr>
              <w:fldChar w:fldCharType="begin"/>
            </w:r>
            <w:r w:rsidR="00191418">
              <w:rPr>
                <w:webHidden/>
              </w:rPr>
              <w:instrText xml:space="preserve"> PAGEREF _Toc229650166 \h </w:instrText>
            </w:r>
            <w:r w:rsidR="00191418">
              <w:rPr>
                <w:webHidden/>
              </w:rPr>
            </w:r>
            <w:r w:rsidR="00191418">
              <w:rPr>
                <w:webHidden/>
              </w:rPr>
              <w:fldChar w:fldCharType="separate"/>
            </w:r>
            <w:r w:rsidR="00191418">
              <w:rPr>
                <w:webHidden/>
              </w:rPr>
              <w:t>4</w:t>
            </w:r>
            <w:r w:rsidR="00191418">
              <w:rPr>
                <w:webHidden/>
              </w:rPr>
              <w:fldChar w:fldCharType="end"/>
            </w:r>
          </w:hyperlink>
        </w:p>
        <w:p w14:paraId="46DDE68F" w14:textId="0C33C3E4" w:rsidR="00191418" w:rsidRDefault="00191418">
          <w:pPr>
            <w:pStyle w:val="TOC1"/>
            <w:rPr>
              <w:caps w:val="0"/>
              <w:kern w:val="2"/>
              <w:sz w:val="24"/>
              <w:szCs w:val="24"/>
              <w:lang w:eastAsia="en-US"/>
              <w14:ligatures w14:val="standardContextual"/>
            </w:rPr>
          </w:pPr>
          <w:hyperlink w:anchor="_Toc229650167" w:history="1">
            <w:r w:rsidRPr="00EB75CA">
              <w:rPr>
                <w:rStyle w:val="Hyperlink"/>
                <w:rFonts w:ascii="Arial" w:hAnsi="Arial" w:cs="Arial"/>
              </w:rPr>
              <w:t>Project Overview</w:t>
            </w:r>
            <w:r>
              <w:rPr>
                <w:webHidden/>
              </w:rPr>
              <w:tab/>
            </w:r>
            <w:r>
              <w:rPr>
                <w:webHidden/>
              </w:rPr>
              <w:fldChar w:fldCharType="begin"/>
            </w:r>
            <w:r>
              <w:rPr>
                <w:webHidden/>
              </w:rPr>
              <w:instrText xml:space="preserve"> PAGEREF _Toc229650167 \h </w:instrText>
            </w:r>
            <w:r>
              <w:rPr>
                <w:webHidden/>
              </w:rPr>
            </w:r>
            <w:r>
              <w:rPr>
                <w:webHidden/>
              </w:rPr>
              <w:fldChar w:fldCharType="separate"/>
            </w:r>
            <w:r>
              <w:rPr>
                <w:webHidden/>
              </w:rPr>
              <w:t>4</w:t>
            </w:r>
            <w:r>
              <w:rPr>
                <w:webHidden/>
              </w:rPr>
              <w:fldChar w:fldCharType="end"/>
            </w:r>
          </w:hyperlink>
        </w:p>
        <w:p w14:paraId="49E2E29A" w14:textId="3ADBE9EB" w:rsidR="00191418" w:rsidRDefault="00191418">
          <w:pPr>
            <w:pStyle w:val="TOC1"/>
            <w:rPr>
              <w:caps w:val="0"/>
              <w:kern w:val="2"/>
              <w:sz w:val="24"/>
              <w:szCs w:val="24"/>
              <w:lang w:eastAsia="en-US"/>
              <w14:ligatures w14:val="standardContextual"/>
            </w:rPr>
          </w:pPr>
          <w:hyperlink w:anchor="_Toc229650168" w:history="1">
            <w:r w:rsidRPr="00EB75CA">
              <w:rPr>
                <w:rStyle w:val="Hyperlink"/>
                <w:rFonts w:ascii="Arial" w:hAnsi="Arial" w:cs="Arial"/>
              </w:rPr>
              <w:t>Project Location</w:t>
            </w:r>
            <w:r>
              <w:rPr>
                <w:webHidden/>
              </w:rPr>
              <w:tab/>
            </w:r>
            <w:r>
              <w:rPr>
                <w:webHidden/>
              </w:rPr>
              <w:fldChar w:fldCharType="begin"/>
            </w:r>
            <w:r>
              <w:rPr>
                <w:webHidden/>
              </w:rPr>
              <w:instrText xml:space="preserve"> PAGEREF _Toc229650168 \h </w:instrText>
            </w:r>
            <w:r>
              <w:rPr>
                <w:webHidden/>
              </w:rPr>
            </w:r>
            <w:r>
              <w:rPr>
                <w:webHidden/>
              </w:rPr>
              <w:fldChar w:fldCharType="separate"/>
            </w:r>
            <w:r>
              <w:rPr>
                <w:webHidden/>
              </w:rPr>
              <w:t>4</w:t>
            </w:r>
            <w:r>
              <w:rPr>
                <w:webHidden/>
              </w:rPr>
              <w:fldChar w:fldCharType="end"/>
            </w:r>
          </w:hyperlink>
        </w:p>
        <w:p w14:paraId="201C01F1" w14:textId="079A7D77" w:rsidR="00191418" w:rsidRDefault="00191418">
          <w:pPr>
            <w:pStyle w:val="TOC1"/>
            <w:rPr>
              <w:caps w:val="0"/>
              <w:kern w:val="2"/>
              <w:sz w:val="24"/>
              <w:szCs w:val="24"/>
              <w:lang w:eastAsia="en-US"/>
              <w14:ligatures w14:val="standardContextual"/>
            </w:rPr>
          </w:pPr>
          <w:hyperlink w:anchor="_Toc229650169" w:history="1">
            <w:r w:rsidRPr="00EB75CA">
              <w:rPr>
                <w:rStyle w:val="Hyperlink"/>
              </w:rPr>
              <w:t>Indicative view of the project area and local landscape</w:t>
            </w:r>
            <w:r>
              <w:rPr>
                <w:webHidden/>
              </w:rPr>
              <w:tab/>
            </w:r>
            <w:r>
              <w:rPr>
                <w:webHidden/>
              </w:rPr>
              <w:fldChar w:fldCharType="begin"/>
            </w:r>
            <w:r>
              <w:rPr>
                <w:webHidden/>
              </w:rPr>
              <w:instrText xml:space="preserve"> PAGEREF _Toc229650169 \h </w:instrText>
            </w:r>
            <w:r>
              <w:rPr>
                <w:webHidden/>
              </w:rPr>
            </w:r>
            <w:r>
              <w:rPr>
                <w:webHidden/>
              </w:rPr>
              <w:fldChar w:fldCharType="separate"/>
            </w:r>
            <w:r>
              <w:rPr>
                <w:webHidden/>
              </w:rPr>
              <w:t>5</w:t>
            </w:r>
            <w:r>
              <w:rPr>
                <w:webHidden/>
              </w:rPr>
              <w:fldChar w:fldCharType="end"/>
            </w:r>
          </w:hyperlink>
        </w:p>
        <w:p w14:paraId="6D8345C7" w14:textId="4601CA11" w:rsidR="00191418" w:rsidRDefault="00191418">
          <w:pPr>
            <w:pStyle w:val="TOC1"/>
            <w:rPr>
              <w:caps w:val="0"/>
              <w:kern w:val="2"/>
              <w:sz w:val="24"/>
              <w:szCs w:val="24"/>
              <w:lang w:eastAsia="en-US"/>
              <w14:ligatures w14:val="standardContextual"/>
            </w:rPr>
          </w:pPr>
          <w:hyperlink w:anchor="_Toc229650170" w:history="1">
            <w:r w:rsidRPr="00EB75CA">
              <w:rPr>
                <w:rStyle w:val="Hyperlink"/>
              </w:rPr>
              <w:t>Environmental sensitivities</w:t>
            </w:r>
            <w:r>
              <w:rPr>
                <w:webHidden/>
              </w:rPr>
              <w:tab/>
            </w:r>
            <w:r>
              <w:rPr>
                <w:webHidden/>
              </w:rPr>
              <w:fldChar w:fldCharType="begin"/>
            </w:r>
            <w:r>
              <w:rPr>
                <w:webHidden/>
              </w:rPr>
              <w:instrText xml:space="preserve"> PAGEREF _Toc229650170 \h </w:instrText>
            </w:r>
            <w:r>
              <w:rPr>
                <w:webHidden/>
              </w:rPr>
            </w:r>
            <w:r>
              <w:rPr>
                <w:webHidden/>
              </w:rPr>
              <w:fldChar w:fldCharType="separate"/>
            </w:r>
            <w:r>
              <w:rPr>
                <w:webHidden/>
              </w:rPr>
              <w:t>10</w:t>
            </w:r>
            <w:r>
              <w:rPr>
                <w:webHidden/>
              </w:rPr>
              <w:fldChar w:fldCharType="end"/>
            </w:r>
          </w:hyperlink>
        </w:p>
        <w:p w14:paraId="6018CB38" w14:textId="365929E3" w:rsidR="00191418" w:rsidRDefault="00191418">
          <w:pPr>
            <w:pStyle w:val="TOC1"/>
            <w:rPr>
              <w:caps w:val="0"/>
              <w:kern w:val="2"/>
              <w:sz w:val="24"/>
              <w:szCs w:val="24"/>
              <w:lang w:eastAsia="en-US"/>
              <w14:ligatures w14:val="standardContextual"/>
            </w:rPr>
          </w:pPr>
          <w:hyperlink w:anchor="_Toc229650171" w:history="1">
            <w:r w:rsidRPr="00EB75CA">
              <w:rPr>
                <w:rStyle w:val="Hyperlink"/>
                <w:rFonts w:ascii="Arial" w:hAnsi="Arial" w:cs="Arial"/>
              </w:rPr>
              <w:t>Rationale of the project</w:t>
            </w:r>
            <w:r>
              <w:rPr>
                <w:webHidden/>
              </w:rPr>
              <w:tab/>
            </w:r>
            <w:r>
              <w:rPr>
                <w:webHidden/>
              </w:rPr>
              <w:fldChar w:fldCharType="begin"/>
            </w:r>
            <w:r>
              <w:rPr>
                <w:webHidden/>
              </w:rPr>
              <w:instrText xml:space="preserve"> PAGEREF _Toc229650171 \h </w:instrText>
            </w:r>
            <w:r>
              <w:rPr>
                <w:webHidden/>
              </w:rPr>
            </w:r>
            <w:r>
              <w:rPr>
                <w:webHidden/>
              </w:rPr>
              <w:fldChar w:fldCharType="separate"/>
            </w:r>
            <w:r>
              <w:rPr>
                <w:webHidden/>
              </w:rPr>
              <w:t>11</w:t>
            </w:r>
            <w:r>
              <w:rPr>
                <w:webHidden/>
              </w:rPr>
              <w:fldChar w:fldCharType="end"/>
            </w:r>
          </w:hyperlink>
        </w:p>
        <w:p w14:paraId="3238FAC9" w14:textId="05BE1FFF" w:rsidR="00191418" w:rsidRDefault="00191418">
          <w:pPr>
            <w:pStyle w:val="TOC1"/>
            <w:rPr>
              <w:caps w:val="0"/>
              <w:kern w:val="2"/>
              <w:sz w:val="24"/>
              <w:szCs w:val="24"/>
              <w:lang w:eastAsia="en-US"/>
              <w14:ligatures w14:val="standardContextual"/>
            </w:rPr>
          </w:pPr>
          <w:hyperlink w:anchor="_Toc229650172" w:history="1">
            <w:r w:rsidRPr="00EB75CA">
              <w:rPr>
                <w:rStyle w:val="Hyperlink"/>
                <w:rFonts w:ascii="Arial" w:hAnsi="Arial" w:cs="Arial"/>
              </w:rPr>
              <w:t>Project Description</w:t>
            </w:r>
            <w:r>
              <w:rPr>
                <w:webHidden/>
              </w:rPr>
              <w:tab/>
            </w:r>
            <w:r>
              <w:rPr>
                <w:webHidden/>
              </w:rPr>
              <w:fldChar w:fldCharType="begin"/>
            </w:r>
            <w:r>
              <w:rPr>
                <w:webHidden/>
              </w:rPr>
              <w:instrText xml:space="preserve"> PAGEREF _Toc229650172 \h </w:instrText>
            </w:r>
            <w:r>
              <w:rPr>
                <w:webHidden/>
              </w:rPr>
            </w:r>
            <w:r>
              <w:rPr>
                <w:webHidden/>
              </w:rPr>
              <w:fldChar w:fldCharType="separate"/>
            </w:r>
            <w:r>
              <w:rPr>
                <w:webHidden/>
              </w:rPr>
              <w:t>11</w:t>
            </w:r>
            <w:r>
              <w:rPr>
                <w:webHidden/>
              </w:rPr>
              <w:fldChar w:fldCharType="end"/>
            </w:r>
          </w:hyperlink>
        </w:p>
        <w:p w14:paraId="4EF9C9E2" w14:textId="0A3F112E" w:rsidR="00191418" w:rsidRDefault="00191418">
          <w:pPr>
            <w:pStyle w:val="TOC2"/>
            <w:rPr>
              <w:kern w:val="2"/>
              <w:sz w:val="24"/>
              <w:szCs w:val="24"/>
              <w:lang w:eastAsia="en-US"/>
              <w14:ligatures w14:val="standardContextual"/>
            </w:rPr>
          </w:pPr>
          <w:hyperlink w:anchor="_Toc229650173" w:history="1">
            <w:r w:rsidRPr="00EB75CA">
              <w:rPr>
                <w:rStyle w:val="Hyperlink"/>
                <w:rFonts w:ascii="Arial" w:hAnsi="Arial" w:cs="Arial"/>
              </w:rPr>
              <w:t>Permanent Project Components</w:t>
            </w:r>
            <w:r>
              <w:rPr>
                <w:webHidden/>
              </w:rPr>
              <w:tab/>
            </w:r>
            <w:r>
              <w:rPr>
                <w:webHidden/>
              </w:rPr>
              <w:fldChar w:fldCharType="begin"/>
            </w:r>
            <w:r>
              <w:rPr>
                <w:webHidden/>
              </w:rPr>
              <w:instrText xml:space="preserve"> PAGEREF _Toc229650173 \h </w:instrText>
            </w:r>
            <w:r>
              <w:rPr>
                <w:webHidden/>
              </w:rPr>
            </w:r>
            <w:r>
              <w:rPr>
                <w:webHidden/>
              </w:rPr>
              <w:fldChar w:fldCharType="separate"/>
            </w:r>
            <w:r>
              <w:rPr>
                <w:webHidden/>
              </w:rPr>
              <w:t>11</w:t>
            </w:r>
            <w:r>
              <w:rPr>
                <w:webHidden/>
              </w:rPr>
              <w:fldChar w:fldCharType="end"/>
            </w:r>
          </w:hyperlink>
        </w:p>
        <w:p w14:paraId="5FC2CD46" w14:textId="2177EF45" w:rsidR="00191418" w:rsidRDefault="00191418">
          <w:pPr>
            <w:pStyle w:val="TOC2"/>
            <w:rPr>
              <w:kern w:val="2"/>
              <w:sz w:val="24"/>
              <w:szCs w:val="24"/>
              <w:lang w:eastAsia="en-US"/>
              <w14:ligatures w14:val="standardContextual"/>
            </w:rPr>
          </w:pPr>
          <w:hyperlink w:anchor="_Toc229650174" w:history="1">
            <w:r w:rsidRPr="00EB75CA">
              <w:rPr>
                <w:rStyle w:val="Hyperlink"/>
                <w:rFonts w:ascii="Arial" w:hAnsi="Arial" w:cs="Arial"/>
              </w:rPr>
              <w:t>Temporary Project Components</w:t>
            </w:r>
            <w:r>
              <w:rPr>
                <w:webHidden/>
              </w:rPr>
              <w:tab/>
            </w:r>
            <w:r>
              <w:rPr>
                <w:webHidden/>
              </w:rPr>
              <w:fldChar w:fldCharType="begin"/>
            </w:r>
            <w:r>
              <w:rPr>
                <w:webHidden/>
              </w:rPr>
              <w:instrText xml:space="preserve"> PAGEREF _Toc229650174 \h </w:instrText>
            </w:r>
            <w:r>
              <w:rPr>
                <w:webHidden/>
              </w:rPr>
            </w:r>
            <w:r>
              <w:rPr>
                <w:webHidden/>
              </w:rPr>
              <w:fldChar w:fldCharType="separate"/>
            </w:r>
            <w:r>
              <w:rPr>
                <w:webHidden/>
              </w:rPr>
              <w:t>12</w:t>
            </w:r>
            <w:r>
              <w:rPr>
                <w:webHidden/>
              </w:rPr>
              <w:fldChar w:fldCharType="end"/>
            </w:r>
          </w:hyperlink>
        </w:p>
        <w:p w14:paraId="4F49DF07" w14:textId="04BECAF6" w:rsidR="00191418" w:rsidRDefault="00191418">
          <w:pPr>
            <w:pStyle w:val="TOC2"/>
            <w:rPr>
              <w:kern w:val="2"/>
              <w:sz w:val="24"/>
              <w:szCs w:val="24"/>
              <w:lang w:eastAsia="en-US"/>
              <w14:ligatures w14:val="standardContextual"/>
            </w:rPr>
          </w:pPr>
          <w:hyperlink w:anchor="_Toc229650175" w:history="1">
            <w:r w:rsidRPr="00EB75CA">
              <w:rPr>
                <w:rStyle w:val="Hyperlink"/>
                <w:rFonts w:ascii="Arial" w:hAnsi="Arial" w:cs="Arial"/>
              </w:rPr>
              <w:t>Size and Capacity of the Project</w:t>
            </w:r>
            <w:r>
              <w:rPr>
                <w:webHidden/>
              </w:rPr>
              <w:tab/>
            </w:r>
            <w:r>
              <w:rPr>
                <w:webHidden/>
              </w:rPr>
              <w:fldChar w:fldCharType="begin"/>
            </w:r>
            <w:r>
              <w:rPr>
                <w:webHidden/>
              </w:rPr>
              <w:instrText xml:space="preserve"> PAGEREF _Toc229650175 \h </w:instrText>
            </w:r>
            <w:r>
              <w:rPr>
                <w:webHidden/>
              </w:rPr>
            </w:r>
            <w:r>
              <w:rPr>
                <w:webHidden/>
              </w:rPr>
              <w:fldChar w:fldCharType="separate"/>
            </w:r>
            <w:r>
              <w:rPr>
                <w:webHidden/>
              </w:rPr>
              <w:t>12</w:t>
            </w:r>
            <w:r>
              <w:rPr>
                <w:webHidden/>
              </w:rPr>
              <w:fldChar w:fldCharType="end"/>
            </w:r>
          </w:hyperlink>
        </w:p>
        <w:p w14:paraId="5FFDFF42" w14:textId="21F8E017" w:rsidR="00191418" w:rsidRDefault="00191418">
          <w:pPr>
            <w:pStyle w:val="TOC2"/>
            <w:rPr>
              <w:kern w:val="2"/>
              <w:sz w:val="24"/>
              <w:szCs w:val="24"/>
              <w:lang w:eastAsia="en-US"/>
              <w14:ligatures w14:val="standardContextual"/>
            </w:rPr>
          </w:pPr>
          <w:hyperlink w:anchor="_Toc229650176" w:history="1">
            <w:r w:rsidRPr="00EB75CA">
              <w:rPr>
                <w:rStyle w:val="Hyperlink"/>
                <w:rFonts w:ascii="Arial" w:hAnsi="Arial" w:cs="Arial"/>
              </w:rPr>
              <w:t>Project Proponent and Key Entities</w:t>
            </w:r>
            <w:r>
              <w:rPr>
                <w:webHidden/>
              </w:rPr>
              <w:tab/>
            </w:r>
            <w:r>
              <w:rPr>
                <w:webHidden/>
              </w:rPr>
              <w:fldChar w:fldCharType="begin"/>
            </w:r>
            <w:r>
              <w:rPr>
                <w:webHidden/>
              </w:rPr>
              <w:instrText xml:space="preserve"> PAGEREF _Toc229650176 \h </w:instrText>
            </w:r>
            <w:r>
              <w:rPr>
                <w:webHidden/>
              </w:rPr>
            </w:r>
            <w:r>
              <w:rPr>
                <w:webHidden/>
              </w:rPr>
              <w:fldChar w:fldCharType="separate"/>
            </w:r>
            <w:r>
              <w:rPr>
                <w:webHidden/>
              </w:rPr>
              <w:t>13</w:t>
            </w:r>
            <w:r>
              <w:rPr>
                <w:webHidden/>
              </w:rPr>
              <w:fldChar w:fldCharType="end"/>
            </w:r>
          </w:hyperlink>
        </w:p>
        <w:p w14:paraId="2E368083" w14:textId="64A8507D" w:rsidR="00191418" w:rsidRDefault="00191418">
          <w:pPr>
            <w:pStyle w:val="TOC1"/>
            <w:rPr>
              <w:caps w:val="0"/>
              <w:kern w:val="2"/>
              <w:sz w:val="24"/>
              <w:szCs w:val="24"/>
              <w:lang w:eastAsia="en-US"/>
              <w14:ligatures w14:val="standardContextual"/>
            </w:rPr>
          </w:pPr>
          <w:hyperlink w:anchor="_Toc229650177" w:history="1">
            <w:r w:rsidRPr="00EB75CA">
              <w:rPr>
                <w:rStyle w:val="Hyperlink"/>
                <w:rFonts w:ascii="Arial" w:hAnsi="Arial" w:cs="Arial"/>
              </w:rPr>
              <w:t>Project Phases and timeline</w:t>
            </w:r>
            <w:r>
              <w:rPr>
                <w:webHidden/>
              </w:rPr>
              <w:tab/>
            </w:r>
            <w:r>
              <w:rPr>
                <w:webHidden/>
              </w:rPr>
              <w:fldChar w:fldCharType="begin"/>
            </w:r>
            <w:r>
              <w:rPr>
                <w:webHidden/>
              </w:rPr>
              <w:instrText xml:space="preserve"> PAGEREF _Toc229650177 \h </w:instrText>
            </w:r>
            <w:r>
              <w:rPr>
                <w:webHidden/>
              </w:rPr>
            </w:r>
            <w:r>
              <w:rPr>
                <w:webHidden/>
              </w:rPr>
              <w:fldChar w:fldCharType="separate"/>
            </w:r>
            <w:r>
              <w:rPr>
                <w:webHidden/>
              </w:rPr>
              <w:t>13</w:t>
            </w:r>
            <w:r>
              <w:rPr>
                <w:webHidden/>
              </w:rPr>
              <w:fldChar w:fldCharType="end"/>
            </w:r>
          </w:hyperlink>
        </w:p>
        <w:p w14:paraId="7BECECE4" w14:textId="25CF6147" w:rsidR="00191418" w:rsidRDefault="00191418">
          <w:pPr>
            <w:pStyle w:val="TOC2"/>
            <w:rPr>
              <w:kern w:val="2"/>
              <w:sz w:val="24"/>
              <w:szCs w:val="24"/>
              <w:lang w:eastAsia="en-US"/>
              <w14:ligatures w14:val="standardContextual"/>
            </w:rPr>
          </w:pPr>
          <w:hyperlink w:anchor="_Toc229650178" w:history="1">
            <w:r w:rsidRPr="00EB75CA">
              <w:rPr>
                <w:rStyle w:val="Hyperlink"/>
                <w:rFonts w:ascii="Arial" w:hAnsi="Arial" w:cs="Arial"/>
              </w:rPr>
              <w:t>Construction Phase</w:t>
            </w:r>
            <w:r>
              <w:rPr>
                <w:webHidden/>
              </w:rPr>
              <w:tab/>
            </w:r>
            <w:r>
              <w:rPr>
                <w:webHidden/>
              </w:rPr>
              <w:fldChar w:fldCharType="begin"/>
            </w:r>
            <w:r>
              <w:rPr>
                <w:webHidden/>
              </w:rPr>
              <w:instrText xml:space="preserve"> PAGEREF _Toc229650178 \h </w:instrText>
            </w:r>
            <w:r>
              <w:rPr>
                <w:webHidden/>
              </w:rPr>
            </w:r>
            <w:r>
              <w:rPr>
                <w:webHidden/>
              </w:rPr>
              <w:fldChar w:fldCharType="separate"/>
            </w:r>
            <w:r>
              <w:rPr>
                <w:webHidden/>
              </w:rPr>
              <w:t>13</w:t>
            </w:r>
            <w:r>
              <w:rPr>
                <w:webHidden/>
              </w:rPr>
              <w:fldChar w:fldCharType="end"/>
            </w:r>
          </w:hyperlink>
        </w:p>
        <w:p w14:paraId="4B48D5B9" w14:textId="184FAEAA" w:rsidR="00191418" w:rsidRDefault="00191418">
          <w:pPr>
            <w:pStyle w:val="TOC2"/>
            <w:rPr>
              <w:kern w:val="2"/>
              <w:sz w:val="24"/>
              <w:szCs w:val="24"/>
              <w:lang w:eastAsia="en-US"/>
              <w14:ligatures w14:val="standardContextual"/>
            </w:rPr>
          </w:pPr>
          <w:hyperlink w:anchor="_Toc229650179" w:history="1">
            <w:r w:rsidRPr="00EB75CA">
              <w:rPr>
                <w:rStyle w:val="Hyperlink"/>
                <w:rFonts w:ascii="Arial" w:hAnsi="Arial" w:cs="Arial"/>
              </w:rPr>
              <w:t>Operational Phase</w:t>
            </w:r>
            <w:r>
              <w:rPr>
                <w:webHidden/>
              </w:rPr>
              <w:tab/>
            </w:r>
            <w:r>
              <w:rPr>
                <w:webHidden/>
              </w:rPr>
              <w:fldChar w:fldCharType="begin"/>
            </w:r>
            <w:r>
              <w:rPr>
                <w:webHidden/>
              </w:rPr>
              <w:instrText xml:space="preserve"> PAGEREF _Toc229650179 \h </w:instrText>
            </w:r>
            <w:r>
              <w:rPr>
                <w:webHidden/>
              </w:rPr>
            </w:r>
            <w:r>
              <w:rPr>
                <w:webHidden/>
              </w:rPr>
              <w:fldChar w:fldCharType="separate"/>
            </w:r>
            <w:r>
              <w:rPr>
                <w:webHidden/>
              </w:rPr>
              <w:t>14</w:t>
            </w:r>
            <w:r>
              <w:rPr>
                <w:webHidden/>
              </w:rPr>
              <w:fldChar w:fldCharType="end"/>
            </w:r>
          </w:hyperlink>
        </w:p>
        <w:p w14:paraId="443BED74" w14:textId="611A6A46" w:rsidR="00191418" w:rsidRDefault="00191418">
          <w:pPr>
            <w:pStyle w:val="TOC2"/>
            <w:rPr>
              <w:kern w:val="2"/>
              <w:sz w:val="24"/>
              <w:szCs w:val="24"/>
              <w:lang w:eastAsia="en-US"/>
              <w14:ligatures w14:val="standardContextual"/>
            </w:rPr>
          </w:pPr>
          <w:hyperlink w:anchor="_Toc229650180" w:history="1">
            <w:r w:rsidRPr="00EB75CA">
              <w:rPr>
                <w:rStyle w:val="Hyperlink"/>
                <w:rFonts w:ascii="Arial" w:hAnsi="Arial" w:cs="Arial"/>
              </w:rPr>
              <w:t>Decommissioning Phase</w:t>
            </w:r>
            <w:r>
              <w:rPr>
                <w:webHidden/>
              </w:rPr>
              <w:tab/>
            </w:r>
            <w:r>
              <w:rPr>
                <w:webHidden/>
              </w:rPr>
              <w:fldChar w:fldCharType="begin"/>
            </w:r>
            <w:r>
              <w:rPr>
                <w:webHidden/>
              </w:rPr>
              <w:instrText xml:space="preserve"> PAGEREF _Toc229650180 \h </w:instrText>
            </w:r>
            <w:r>
              <w:rPr>
                <w:webHidden/>
              </w:rPr>
            </w:r>
            <w:r>
              <w:rPr>
                <w:webHidden/>
              </w:rPr>
              <w:fldChar w:fldCharType="separate"/>
            </w:r>
            <w:r>
              <w:rPr>
                <w:webHidden/>
              </w:rPr>
              <w:t>14</w:t>
            </w:r>
            <w:r>
              <w:rPr>
                <w:webHidden/>
              </w:rPr>
              <w:fldChar w:fldCharType="end"/>
            </w:r>
          </w:hyperlink>
        </w:p>
        <w:p w14:paraId="4A114D69" w14:textId="40C257FA" w:rsidR="00191418" w:rsidRDefault="00191418">
          <w:pPr>
            <w:pStyle w:val="TOC2"/>
            <w:rPr>
              <w:kern w:val="2"/>
              <w:sz w:val="24"/>
              <w:szCs w:val="24"/>
              <w:lang w:eastAsia="en-US"/>
              <w14:ligatures w14:val="standardContextual"/>
            </w:rPr>
          </w:pPr>
          <w:hyperlink w:anchor="_Toc229650181" w:history="1">
            <w:r w:rsidRPr="00EB75CA">
              <w:rPr>
                <w:rStyle w:val="Hyperlink"/>
                <w:rFonts w:ascii="Arial" w:hAnsi="Arial" w:cs="Arial"/>
              </w:rPr>
              <w:t>Project Schedule</w:t>
            </w:r>
            <w:r>
              <w:rPr>
                <w:webHidden/>
              </w:rPr>
              <w:tab/>
            </w:r>
            <w:r>
              <w:rPr>
                <w:webHidden/>
              </w:rPr>
              <w:fldChar w:fldCharType="begin"/>
            </w:r>
            <w:r>
              <w:rPr>
                <w:webHidden/>
              </w:rPr>
              <w:instrText xml:space="preserve"> PAGEREF _Toc229650181 \h </w:instrText>
            </w:r>
            <w:r>
              <w:rPr>
                <w:webHidden/>
              </w:rPr>
            </w:r>
            <w:r>
              <w:rPr>
                <w:webHidden/>
              </w:rPr>
              <w:fldChar w:fldCharType="separate"/>
            </w:r>
            <w:r>
              <w:rPr>
                <w:webHidden/>
              </w:rPr>
              <w:t>15</w:t>
            </w:r>
            <w:r>
              <w:rPr>
                <w:webHidden/>
              </w:rPr>
              <w:fldChar w:fldCharType="end"/>
            </w:r>
          </w:hyperlink>
        </w:p>
        <w:p w14:paraId="14D39FEC" w14:textId="2DF0DD28" w:rsidR="00191418" w:rsidRDefault="00191418">
          <w:pPr>
            <w:pStyle w:val="TOC1"/>
            <w:rPr>
              <w:caps w:val="0"/>
              <w:kern w:val="2"/>
              <w:sz w:val="24"/>
              <w:szCs w:val="24"/>
              <w:lang w:eastAsia="en-US"/>
              <w14:ligatures w14:val="standardContextual"/>
            </w:rPr>
          </w:pPr>
          <w:hyperlink w:anchor="_Toc229650182" w:history="1">
            <w:r w:rsidRPr="00EB75CA">
              <w:rPr>
                <w:rStyle w:val="Hyperlink"/>
                <w:rFonts w:ascii="Arial" w:hAnsi="Arial" w:cs="Arial"/>
              </w:rPr>
              <w:t>Environmental AND SOCIAL baseline</w:t>
            </w:r>
            <w:r>
              <w:rPr>
                <w:webHidden/>
              </w:rPr>
              <w:tab/>
            </w:r>
            <w:r>
              <w:rPr>
                <w:webHidden/>
              </w:rPr>
              <w:fldChar w:fldCharType="begin"/>
            </w:r>
            <w:r>
              <w:rPr>
                <w:webHidden/>
              </w:rPr>
              <w:instrText xml:space="preserve"> PAGEREF _Toc229650182 \h </w:instrText>
            </w:r>
            <w:r>
              <w:rPr>
                <w:webHidden/>
              </w:rPr>
            </w:r>
            <w:r>
              <w:rPr>
                <w:webHidden/>
              </w:rPr>
              <w:fldChar w:fldCharType="separate"/>
            </w:r>
            <w:r>
              <w:rPr>
                <w:webHidden/>
              </w:rPr>
              <w:t>15</w:t>
            </w:r>
            <w:r>
              <w:rPr>
                <w:webHidden/>
              </w:rPr>
              <w:fldChar w:fldCharType="end"/>
            </w:r>
          </w:hyperlink>
        </w:p>
        <w:p w14:paraId="15AACDFE" w14:textId="044D1691" w:rsidR="00191418" w:rsidRDefault="00191418">
          <w:pPr>
            <w:pStyle w:val="TOC2"/>
            <w:rPr>
              <w:kern w:val="2"/>
              <w:sz w:val="24"/>
              <w:szCs w:val="24"/>
              <w:lang w:eastAsia="en-US"/>
              <w14:ligatures w14:val="standardContextual"/>
            </w:rPr>
          </w:pPr>
          <w:hyperlink w:anchor="_Toc229650183" w:history="1">
            <w:r w:rsidRPr="00EB75CA">
              <w:rPr>
                <w:rStyle w:val="Hyperlink"/>
                <w:rFonts w:ascii="Arial" w:hAnsi="Arial" w:cs="Arial"/>
              </w:rPr>
              <w:t>Baseline Methodology</w:t>
            </w:r>
            <w:r>
              <w:rPr>
                <w:webHidden/>
              </w:rPr>
              <w:tab/>
            </w:r>
            <w:r>
              <w:rPr>
                <w:webHidden/>
              </w:rPr>
              <w:fldChar w:fldCharType="begin"/>
            </w:r>
            <w:r>
              <w:rPr>
                <w:webHidden/>
              </w:rPr>
              <w:instrText xml:space="preserve"> PAGEREF _Toc229650183 \h </w:instrText>
            </w:r>
            <w:r>
              <w:rPr>
                <w:webHidden/>
              </w:rPr>
            </w:r>
            <w:r>
              <w:rPr>
                <w:webHidden/>
              </w:rPr>
              <w:fldChar w:fldCharType="separate"/>
            </w:r>
            <w:r>
              <w:rPr>
                <w:webHidden/>
              </w:rPr>
              <w:t>15</w:t>
            </w:r>
            <w:r>
              <w:rPr>
                <w:webHidden/>
              </w:rPr>
              <w:fldChar w:fldCharType="end"/>
            </w:r>
          </w:hyperlink>
        </w:p>
        <w:p w14:paraId="54AD5806" w14:textId="4936889D" w:rsidR="00191418" w:rsidRDefault="00191418">
          <w:pPr>
            <w:pStyle w:val="TOC2"/>
            <w:rPr>
              <w:kern w:val="2"/>
              <w:sz w:val="24"/>
              <w:szCs w:val="24"/>
              <w:lang w:eastAsia="en-US"/>
              <w14:ligatures w14:val="standardContextual"/>
            </w:rPr>
          </w:pPr>
          <w:hyperlink w:anchor="_Toc229650184" w:history="1">
            <w:r w:rsidRPr="00EB75CA">
              <w:rPr>
                <w:rStyle w:val="Hyperlink"/>
                <w:rFonts w:ascii="Arial" w:hAnsi="Arial" w:cs="Arial"/>
              </w:rPr>
              <w:t>Environmental Context</w:t>
            </w:r>
            <w:r>
              <w:rPr>
                <w:webHidden/>
              </w:rPr>
              <w:tab/>
            </w:r>
            <w:r>
              <w:rPr>
                <w:webHidden/>
              </w:rPr>
              <w:fldChar w:fldCharType="begin"/>
            </w:r>
            <w:r>
              <w:rPr>
                <w:webHidden/>
              </w:rPr>
              <w:instrText xml:space="preserve"> PAGEREF _Toc229650184 \h </w:instrText>
            </w:r>
            <w:r>
              <w:rPr>
                <w:webHidden/>
              </w:rPr>
            </w:r>
            <w:r>
              <w:rPr>
                <w:webHidden/>
              </w:rPr>
              <w:fldChar w:fldCharType="separate"/>
            </w:r>
            <w:r>
              <w:rPr>
                <w:webHidden/>
              </w:rPr>
              <w:t>16</w:t>
            </w:r>
            <w:r>
              <w:rPr>
                <w:webHidden/>
              </w:rPr>
              <w:fldChar w:fldCharType="end"/>
            </w:r>
          </w:hyperlink>
        </w:p>
        <w:p w14:paraId="1916B45A" w14:textId="12349E31" w:rsidR="00191418" w:rsidRDefault="00191418">
          <w:pPr>
            <w:pStyle w:val="TOC2"/>
            <w:rPr>
              <w:kern w:val="2"/>
              <w:sz w:val="24"/>
              <w:szCs w:val="24"/>
              <w:lang w:eastAsia="en-US"/>
              <w14:ligatures w14:val="standardContextual"/>
            </w:rPr>
          </w:pPr>
          <w:hyperlink w:anchor="_Toc229650185" w:history="1">
            <w:r w:rsidRPr="00EB75CA">
              <w:rPr>
                <w:rStyle w:val="Hyperlink"/>
                <w:rFonts w:ascii="Arial" w:hAnsi="Arial" w:cs="Arial"/>
              </w:rPr>
              <w:t>Bird and bat collision risk management</w:t>
            </w:r>
            <w:r>
              <w:rPr>
                <w:webHidden/>
              </w:rPr>
              <w:tab/>
            </w:r>
            <w:r>
              <w:rPr>
                <w:webHidden/>
              </w:rPr>
              <w:fldChar w:fldCharType="begin"/>
            </w:r>
            <w:r>
              <w:rPr>
                <w:webHidden/>
              </w:rPr>
              <w:instrText xml:space="preserve"> PAGEREF _Toc229650185 \h </w:instrText>
            </w:r>
            <w:r>
              <w:rPr>
                <w:webHidden/>
              </w:rPr>
            </w:r>
            <w:r>
              <w:rPr>
                <w:webHidden/>
              </w:rPr>
              <w:fldChar w:fldCharType="separate"/>
            </w:r>
            <w:r>
              <w:rPr>
                <w:webHidden/>
              </w:rPr>
              <w:t>17</w:t>
            </w:r>
            <w:r>
              <w:rPr>
                <w:webHidden/>
              </w:rPr>
              <w:fldChar w:fldCharType="end"/>
            </w:r>
          </w:hyperlink>
        </w:p>
        <w:p w14:paraId="17118FD4" w14:textId="7050C9F7" w:rsidR="00191418" w:rsidRDefault="00191418">
          <w:pPr>
            <w:pStyle w:val="TOC1"/>
            <w:rPr>
              <w:caps w:val="0"/>
              <w:kern w:val="2"/>
              <w:sz w:val="24"/>
              <w:szCs w:val="24"/>
              <w:lang w:eastAsia="en-US"/>
              <w14:ligatures w14:val="standardContextual"/>
            </w:rPr>
          </w:pPr>
          <w:hyperlink w:anchor="_Toc229650186" w:history="1">
            <w:r w:rsidRPr="00EB75CA">
              <w:rPr>
                <w:rStyle w:val="Hyperlink"/>
              </w:rPr>
              <w:t>How the bird detection and automatic shut-down system works</w:t>
            </w:r>
            <w:r>
              <w:rPr>
                <w:webHidden/>
              </w:rPr>
              <w:tab/>
            </w:r>
            <w:r>
              <w:rPr>
                <w:webHidden/>
              </w:rPr>
              <w:fldChar w:fldCharType="begin"/>
            </w:r>
            <w:r>
              <w:rPr>
                <w:webHidden/>
              </w:rPr>
              <w:instrText xml:space="preserve"> PAGEREF _Toc229650186 \h </w:instrText>
            </w:r>
            <w:r>
              <w:rPr>
                <w:webHidden/>
              </w:rPr>
            </w:r>
            <w:r>
              <w:rPr>
                <w:webHidden/>
              </w:rPr>
              <w:fldChar w:fldCharType="separate"/>
            </w:r>
            <w:r>
              <w:rPr>
                <w:webHidden/>
              </w:rPr>
              <w:t>18</w:t>
            </w:r>
            <w:r>
              <w:rPr>
                <w:webHidden/>
              </w:rPr>
              <w:fldChar w:fldCharType="end"/>
            </w:r>
          </w:hyperlink>
        </w:p>
        <w:p w14:paraId="17C77529" w14:textId="2F22BE4D" w:rsidR="00191418" w:rsidRDefault="00191418">
          <w:pPr>
            <w:pStyle w:val="TOC2"/>
            <w:rPr>
              <w:kern w:val="2"/>
              <w:sz w:val="24"/>
              <w:szCs w:val="24"/>
              <w:lang w:eastAsia="en-US"/>
              <w14:ligatures w14:val="standardContextual"/>
            </w:rPr>
          </w:pPr>
          <w:hyperlink w:anchor="_Toc229650187" w:history="1">
            <w:r w:rsidRPr="00EB75CA">
              <w:rPr>
                <w:rStyle w:val="Hyperlink"/>
                <w:rFonts w:ascii="Arial" w:hAnsi="Arial" w:cs="Arial"/>
              </w:rPr>
              <w:t>Social context</w:t>
            </w:r>
            <w:r>
              <w:rPr>
                <w:webHidden/>
              </w:rPr>
              <w:tab/>
            </w:r>
            <w:r>
              <w:rPr>
                <w:webHidden/>
              </w:rPr>
              <w:fldChar w:fldCharType="begin"/>
            </w:r>
            <w:r>
              <w:rPr>
                <w:webHidden/>
              </w:rPr>
              <w:instrText xml:space="preserve"> PAGEREF _Toc229650187 \h </w:instrText>
            </w:r>
            <w:r>
              <w:rPr>
                <w:webHidden/>
              </w:rPr>
            </w:r>
            <w:r>
              <w:rPr>
                <w:webHidden/>
              </w:rPr>
              <w:fldChar w:fldCharType="separate"/>
            </w:r>
            <w:r>
              <w:rPr>
                <w:webHidden/>
              </w:rPr>
              <w:t>20</w:t>
            </w:r>
            <w:r>
              <w:rPr>
                <w:webHidden/>
              </w:rPr>
              <w:fldChar w:fldCharType="end"/>
            </w:r>
          </w:hyperlink>
        </w:p>
        <w:p w14:paraId="59E661C3" w14:textId="7D13390C" w:rsidR="00191418" w:rsidRDefault="00191418">
          <w:pPr>
            <w:pStyle w:val="TOC1"/>
            <w:rPr>
              <w:caps w:val="0"/>
              <w:kern w:val="2"/>
              <w:sz w:val="24"/>
              <w:szCs w:val="24"/>
              <w:lang w:eastAsia="en-US"/>
              <w14:ligatures w14:val="standardContextual"/>
            </w:rPr>
          </w:pPr>
          <w:hyperlink w:anchor="_Toc229650188" w:history="1">
            <w:r w:rsidRPr="00EB75CA">
              <w:rPr>
                <w:rStyle w:val="Hyperlink"/>
                <w:rFonts w:ascii="Arial" w:hAnsi="Arial" w:cs="Arial"/>
              </w:rPr>
              <w:t>ENVIRONMENTAL AND SOCIAL Impact Assessment</w:t>
            </w:r>
            <w:r>
              <w:rPr>
                <w:webHidden/>
              </w:rPr>
              <w:tab/>
            </w:r>
            <w:r>
              <w:rPr>
                <w:webHidden/>
              </w:rPr>
              <w:fldChar w:fldCharType="begin"/>
            </w:r>
            <w:r>
              <w:rPr>
                <w:webHidden/>
              </w:rPr>
              <w:instrText xml:space="preserve"> PAGEREF _Toc229650188 \h </w:instrText>
            </w:r>
            <w:r>
              <w:rPr>
                <w:webHidden/>
              </w:rPr>
            </w:r>
            <w:r>
              <w:rPr>
                <w:webHidden/>
              </w:rPr>
              <w:fldChar w:fldCharType="separate"/>
            </w:r>
            <w:r>
              <w:rPr>
                <w:webHidden/>
              </w:rPr>
              <w:t>21</w:t>
            </w:r>
            <w:r>
              <w:rPr>
                <w:webHidden/>
              </w:rPr>
              <w:fldChar w:fldCharType="end"/>
            </w:r>
          </w:hyperlink>
        </w:p>
        <w:p w14:paraId="764154B2" w14:textId="100B0B10" w:rsidR="00191418" w:rsidRDefault="00191418">
          <w:pPr>
            <w:pStyle w:val="TOC1"/>
            <w:rPr>
              <w:caps w:val="0"/>
              <w:kern w:val="2"/>
              <w:sz w:val="24"/>
              <w:szCs w:val="24"/>
              <w:lang w:eastAsia="en-US"/>
              <w14:ligatures w14:val="standardContextual"/>
            </w:rPr>
          </w:pPr>
          <w:hyperlink w:anchor="_Toc229650189" w:history="1">
            <w:r w:rsidRPr="00EB75CA">
              <w:rPr>
                <w:rStyle w:val="Hyperlink"/>
                <w:rFonts w:ascii="Arial" w:hAnsi="Arial" w:cs="Arial"/>
              </w:rPr>
              <w:t>Other Assessments (Summary)</w:t>
            </w:r>
            <w:r>
              <w:rPr>
                <w:webHidden/>
              </w:rPr>
              <w:tab/>
            </w:r>
            <w:r>
              <w:rPr>
                <w:webHidden/>
              </w:rPr>
              <w:fldChar w:fldCharType="begin"/>
            </w:r>
            <w:r>
              <w:rPr>
                <w:webHidden/>
              </w:rPr>
              <w:instrText xml:space="preserve"> PAGEREF _Toc229650189 \h </w:instrText>
            </w:r>
            <w:r>
              <w:rPr>
                <w:webHidden/>
              </w:rPr>
            </w:r>
            <w:r>
              <w:rPr>
                <w:webHidden/>
              </w:rPr>
              <w:fldChar w:fldCharType="separate"/>
            </w:r>
            <w:r>
              <w:rPr>
                <w:webHidden/>
              </w:rPr>
              <w:t>25</w:t>
            </w:r>
            <w:r>
              <w:rPr>
                <w:webHidden/>
              </w:rPr>
              <w:fldChar w:fldCharType="end"/>
            </w:r>
          </w:hyperlink>
        </w:p>
        <w:p w14:paraId="435B2F38" w14:textId="22BE38ED" w:rsidR="00191418" w:rsidRDefault="00191418">
          <w:pPr>
            <w:pStyle w:val="TOC1"/>
            <w:rPr>
              <w:caps w:val="0"/>
              <w:kern w:val="2"/>
              <w:sz w:val="24"/>
              <w:szCs w:val="24"/>
              <w:lang w:eastAsia="en-US"/>
              <w14:ligatures w14:val="standardContextual"/>
            </w:rPr>
          </w:pPr>
          <w:hyperlink w:anchor="_Toc229650190" w:history="1">
            <w:r w:rsidRPr="00EB75CA">
              <w:rPr>
                <w:rStyle w:val="Hyperlink"/>
                <w:rFonts w:ascii="Arial" w:hAnsi="Arial" w:cs="Arial"/>
              </w:rPr>
              <w:t>Noise Assessment summary</w:t>
            </w:r>
            <w:r>
              <w:rPr>
                <w:webHidden/>
              </w:rPr>
              <w:tab/>
            </w:r>
            <w:r>
              <w:rPr>
                <w:webHidden/>
              </w:rPr>
              <w:fldChar w:fldCharType="begin"/>
            </w:r>
            <w:r>
              <w:rPr>
                <w:webHidden/>
              </w:rPr>
              <w:instrText xml:space="preserve"> PAGEREF _Toc229650190 \h </w:instrText>
            </w:r>
            <w:r>
              <w:rPr>
                <w:webHidden/>
              </w:rPr>
            </w:r>
            <w:r>
              <w:rPr>
                <w:webHidden/>
              </w:rPr>
              <w:fldChar w:fldCharType="separate"/>
            </w:r>
            <w:r>
              <w:rPr>
                <w:webHidden/>
              </w:rPr>
              <w:t>26</w:t>
            </w:r>
            <w:r>
              <w:rPr>
                <w:webHidden/>
              </w:rPr>
              <w:fldChar w:fldCharType="end"/>
            </w:r>
          </w:hyperlink>
        </w:p>
        <w:p w14:paraId="1C2F493E" w14:textId="26400103" w:rsidR="00191418" w:rsidRDefault="00191418">
          <w:pPr>
            <w:pStyle w:val="TOC1"/>
            <w:rPr>
              <w:caps w:val="0"/>
              <w:kern w:val="2"/>
              <w:sz w:val="24"/>
              <w:szCs w:val="24"/>
              <w:lang w:eastAsia="en-US"/>
              <w14:ligatures w14:val="standardContextual"/>
            </w:rPr>
          </w:pPr>
          <w:hyperlink w:anchor="_Toc229650191" w:history="1">
            <w:r w:rsidRPr="00EB75CA">
              <w:rPr>
                <w:rStyle w:val="Hyperlink"/>
                <w:rFonts w:ascii="Arial" w:hAnsi="Arial" w:cs="Arial"/>
              </w:rPr>
              <w:t>Environmental and Social Management</w:t>
            </w:r>
            <w:r>
              <w:rPr>
                <w:webHidden/>
              </w:rPr>
              <w:tab/>
            </w:r>
            <w:r>
              <w:rPr>
                <w:webHidden/>
              </w:rPr>
              <w:fldChar w:fldCharType="begin"/>
            </w:r>
            <w:r>
              <w:rPr>
                <w:webHidden/>
              </w:rPr>
              <w:instrText xml:space="preserve"> PAGEREF _Toc229650191 \h </w:instrText>
            </w:r>
            <w:r>
              <w:rPr>
                <w:webHidden/>
              </w:rPr>
            </w:r>
            <w:r>
              <w:rPr>
                <w:webHidden/>
              </w:rPr>
              <w:fldChar w:fldCharType="separate"/>
            </w:r>
            <w:r>
              <w:rPr>
                <w:webHidden/>
              </w:rPr>
              <w:t>26</w:t>
            </w:r>
            <w:r>
              <w:rPr>
                <w:webHidden/>
              </w:rPr>
              <w:fldChar w:fldCharType="end"/>
            </w:r>
          </w:hyperlink>
        </w:p>
        <w:p w14:paraId="5D199774" w14:textId="6BCD14DC" w:rsidR="00191418" w:rsidRDefault="00191418">
          <w:pPr>
            <w:pStyle w:val="TOC2"/>
            <w:rPr>
              <w:kern w:val="2"/>
              <w:sz w:val="24"/>
              <w:szCs w:val="24"/>
              <w:lang w:eastAsia="en-US"/>
              <w14:ligatures w14:val="standardContextual"/>
            </w:rPr>
          </w:pPr>
          <w:hyperlink w:anchor="_Toc229650192" w:history="1">
            <w:r w:rsidRPr="00EB75CA">
              <w:rPr>
                <w:rStyle w:val="Hyperlink"/>
                <w:rFonts w:ascii="Arial" w:hAnsi="Arial" w:cs="Arial"/>
              </w:rPr>
              <w:t>Approach to Environmental and Social Management</w:t>
            </w:r>
            <w:r>
              <w:rPr>
                <w:webHidden/>
              </w:rPr>
              <w:tab/>
            </w:r>
            <w:r>
              <w:rPr>
                <w:webHidden/>
              </w:rPr>
              <w:fldChar w:fldCharType="begin"/>
            </w:r>
            <w:r>
              <w:rPr>
                <w:webHidden/>
              </w:rPr>
              <w:instrText xml:space="preserve"> PAGEREF _Toc229650192 \h </w:instrText>
            </w:r>
            <w:r>
              <w:rPr>
                <w:webHidden/>
              </w:rPr>
            </w:r>
            <w:r>
              <w:rPr>
                <w:webHidden/>
              </w:rPr>
              <w:fldChar w:fldCharType="separate"/>
            </w:r>
            <w:r>
              <w:rPr>
                <w:webHidden/>
              </w:rPr>
              <w:t>26</w:t>
            </w:r>
            <w:r>
              <w:rPr>
                <w:webHidden/>
              </w:rPr>
              <w:fldChar w:fldCharType="end"/>
            </w:r>
          </w:hyperlink>
        </w:p>
        <w:p w14:paraId="39D4255E" w14:textId="451E37C2" w:rsidR="00191418" w:rsidRDefault="00191418">
          <w:pPr>
            <w:pStyle w:val="TOC2"/>
            <w:rPr>
              <w:kern w:val="2"/>
              <w:sz w:val="24"/>
              <w:szCs w:val="24"/>
              <w:lang w:eastAsia="en-US"/>
              <w14:ligatures w14:val="standardContextual"/>
            </w:rPr>
          </w:pPr>
          <w:hyperlink w:anchor="_Toc229650193" w:history="1">
            <w:r w:rsidRPr="00EB75CA">
              <w:rPr>
                <w:rStyle w:val="Hyperlink"/>
                <w:rFonts w:ascii="Arial" w:hAnsi="Arial" w:cs="Arial"/>
              </w:rPr>
              <w:t>Key Environmental and Social Commitments</w:t>
            </w:r>
            <w:r>
              <w:rPr>
                <w:webHidden/>
              </w:rPr>
              <w:tab/>
            </w:r>
            <w:r>
              <w:rPr>
                <w:webHidden/>
              </w:rPr>
              <w:fldChar w:fldCharType="begin"/>
            </w:r>
            <w:r>
              <w:rPr>
                <w:webHidden/>
              </w:rPr>
              <w:instrText xml:space="preserve"> PAGEREF _Toc229650193 \h </w:instrText>
            </w:r>
            <w:r>
              <w:rPr>
                <w:webHidden/>
              </w:rPr>
            </w:r>
            <w:r>
              <w:rPr>
                <w:webHidden/>
              </w:rPr>
              <w:fldChar w:fldCharType="separate"/>
            </w:r>
            <w:r>
              <w:rPr>
                <w:webHidden/>
              </w:rPr>
              <w:t>27</w:t>
            </w:r>
            <w:r>
              <w:rPr>
                <w:webHidden/>
              </w:rPr>
              <w:fldChar w:fldCharType="end"/>
            </w:r>
          </w:hyperlink>
        </w:p>
        <w:p w14:paraId="1AAA5407" w14:textId="4BD8A0D1" w:rsidR="00191418" w:rsidRDefault="00191418">
          <w:pPr>
            <w:pStyle w:val="TOC1"/>
            <w:rPr>
              <w:caps w:val="0"/>
              <w:kern w:val="2"/>
              <w:sz w:val="24"/>
              <w:szCs w:val="24"/>
              <w:lang w:eastAsia="en-US"/>
              <w14:ligatures w14:val="standardContextual"/>
            </w:rPr>
          </w:pPr>
          <w:hyperlink w:anchor="_Toc229650194" w:history="1">
            <w:r w:rsidRPr="00EB75CA">
              <w:rPr>
                <w:rStyle w:val="Hyperlink"/>
                <w:rFonts w:ascii="Arial" w:hAnsi="Arial" w:cs="Arial"/>
              </w:rPr>
              <w:t>Stakeholder Engagement</w:t>
            </w:r>
            <w:r>
              <w:rPr>
                <w:webHidden/>
              </w:rPr>
              <w:tab/>
            </w:r>
            <w:r>
              <w:rPr>
                <w:webHidden/>
              </w:rPr>
              <w:fldChar w:fldCharType="begin"/>
            </w:r>
            <w:r>
              <w:rPr>
                <w:webHidden/>
              </w:rPr>
              <w:instrText xml:space="preserve"> PAGEREF _Toc229650194 \h </w:instrText>
            </w:r>
            <w:r>
              <w:rPr>
                <w:webHidden/>
              </w:rPr>
            </w:r>
            <w:r>
              <w:rPr>
                <w:webHidden/>
              </w:rPr>
              <w:fldChar w:fldCharType="separate"/>
            </w:r>
            <w:r>
              <w:rPr>
                <w:webHidden/>
              </w:rPr>
              <w:t>28</w:t>
            </w:r>
            <w:r>
              <w:rPr>
                <w:webHidden/>
              </w:rPr>
              <w:fldChar w:fldCharType="end"/>
            </w:r>
          </w:hyperlink>
        </w:p>
        <w:p w14:paraId="136651F5" w14:textId="64C1C4E1" w:rsidR="00191418" w:rsidRDefault="00191418">
          <w:pPr>
            <w:pStyle w:val="TOC2"/>
            <w:rPr>
              <w:kern w:val="2"/>
              <w:sz w:val="24"/>
              <w:szCs w:val="24"/>
              <w:lang w:eastAsia="en-US"/>
              <w14:ligatures w14:val="standardContextual"/>
            </w:rPr>
          </w:pPr>
          <w:hyperlink w:anchor="_Toc229650195" w:history="1">
            <w:r w:rsidRPr="00EB75CA">
              <w:rPr>
                <w:rStyle w:val="Hyperlink"/>
                <w:rFonts w:ascii="Arial" w:hAnsi="Arial" w:cs="Arial"/>
              </w:rPr>
              <w:t>Approach to Stakeholder Engagement</w:t>
            </w:r>
            <w:r>
              <w:rPr>
                <w:webHidden/>
              </w:rPr>
              <w:tab/>
            </w:r>
            <w:r>
              <w:rPr>
                <w:webHidden/>
              </w:rPr>
              <w:fldChar w:fldCharType="begin"/>
            </w:r>
            <w:r>
              <w:rPr>
                <w:webHidden/>
              </w:rPr>
              <w:instrText xml:space="preserve"> PAGEREF _Toc229650195 \h </w:instrText>
            </w:r>
            <w:r>
              <w:rPr>
                <w:webHidden/>
              </w:rPr>
            </w:r>
            <w:r>
              <w:rPr>
                <w:webHidden/>
              </w:rPr>
              <w:fldChar w:fldCharType="separate"/>
            </w:r>
            <w:r>
              <w:rPr>
                <w:webHidden/>
              </w:rPr>
              <w:t>28</w:t>
            </w:r>
            <w:r>
              <w:rPr>
                <w:webHidden/>
              </w:rPr>
              <w:fldChar w:fldCharType="end"/>
            </w:r>
          </w:hyperlink>
        </w:p>
        <w:p w14:paraId="5762ED6F" w14:textId="4F5877AA" w:rsidR="00191418" w:rsidRDefault="00191418">
          <w:pPr>
            <w:pStyle w:val="TOC2"/>
            <w:rPr>
              <w:kern w:val="2"/>
              <w:sz w:val="24"/>
              <w:szCs w:val="24"/>
              <w:lang w:eastAsia="en-US"/>
              <w14:ligatures w14:val="standardContextual"/>
            </w:rPr>
          </w:pPr>
          <w:hyperlink w:anchor="_Toc229650196" w:history="1">
            <w:r w:rsidRPr="00EB75CA">
              <w:rPr>
                <w:rStyle w:val="Hyperlink"/>
                <w:rFonts w:ascii="Arial" w:hAnsi="Arial" w:cs="Arial"/>
              </w:rPr>
              <w:t>Stakeholders’ identification</w:t>
            </w:r>
            <w:r>
              <w:rPr>
                <w:webHidden/>
              </w:rPr>
              <w:tab/>
            </w:r>
            <w:r>
              <w:rPr>
                <w:webHidden/>
              </w:rPr>
              <w:fldChar w:fldCharType="begin"/>
            </w:r>
            <w:r>
              <w:rPr>
                <w:webHidden/>
              </w:rPr>
              <w:instrText xml:space="preserve"> PAGEREF _Toc229650196 \h </w:instrText>
            </w:r>
            <w:r>
              <w:rPr>
                <w:webHidden/>
              </w:rPr>
            </w:r>
            <w:r>
              <w:rPr>
                <w:webHidden/>
              </w:rPr>
              <w:fldChar w:fldCharType="separate"/>
            </w:r>
            <w:r>
              <w:rPr>
                <w:webHidden/>
              </w:rPr>
              <w:t>28</w:t>
            </w:r>
            <w:r>
              <w:rPr>
                <w:webHidden/>
              </w:rPr>
              <w:fldChar w:fldCharType="end"/>
            </w:r>
          </w:hyperlink>
        </w:p>
        <w:p w14:paraId="093B9577" w14:textId="0CBB2061" w:rsidR="00191418" w:rsidRDefault="00191418">
          <w:pPr>
            <w:pStyle w:val="TOC2"/>
            <w:rPr>
              <w:kern w:val="2"/>
              <w:sz w:val="24"/>
              <w:szCs w:val="24"/>
              <w:lang w:eastAsia="en-US"/>
              <w14:ligatures w14:val="standardContextual"/>
            </w:rPr>
          </w:pPr>
          <w:hyperlink w:anchor="_Toc229650197" w:history="1">
            <w:r w:rsidRPr="00EB75CA">
              <w:rPr>
                <w:rStyle w:val="Hyperlink"/>
                <w:rFonts w:ascii="Arial" w:hAnsi="Arial" w:cs="Arial"/>
              </w:rPr>
              <w:t>Ongoing Engagement</w:t>
            </w:r>
            <w:r>
              <w:rPr>
                <w:webHidden/>
              </w:rPr>
              <w:tab/>
            </w:r>
            <w:r>
              <w:rPr>
                <w:webHidden/>
              </w:rPr>
              <w:fldChar w:fldCharType="begin"/>
            </w:r>
            <w:r>
              <w:rPr>
                <w:webHidden/>
              </w:rPr>
              <w:instrText xml:space="preserve"> PAGEREF _Toc229650197 \h </w:instrText>
            </w:r>
            <w:r>
              <w:rPr>
                <w:webHidden/>
              </w:rPr>
            </w:r>
            <w:r>
              <w:rPr>
                <w:webHidden/>
              </w:rPr>
              <w:fldChar w:fldCharType="separate"/>
            </w:r>
            <w:r>
              <w:rPr>
                <w:webHidden/>
              </w:rPr>
              <w:t>29</w:t>
            </w:r>
            <w:r>
              <w:rPr>
                <w:webHidden/>
              </w:rPr>
              <w:fldChar w:fldCharType="end"/>
            </w:r>
          </w:hyperlink>
        </w:p>
        <w:p w14:paraId="4DE1BD69" w14:textId="05CE9B28" w:rsidR="00191418" w:rsidRDefault="00191418">
          <w:pPr>
            <w:pStyle w:val="TOC2"/>
            <w:rPr>
              <w:kern w:val="2"/>
              <w:sz w:val="24"/>
              <w:szCs w:val="24"/>
              <w:lang w:eastAsia="en-US"/>
              <w14:ligatures w14:val="standardContextual"/>
            </w:rPr>
          </w:pPr>
          <w:hyperlink w:anchor="_Toc229650198" w:history="1">
            <w:r w:rsidRPr="00EB75CA">
              <w:rPr>
                <w:rStyle w:val="Hyperlink"/>
                <w:rFonts w:ascii="Arial" w:hAnsi="Arial" w:cs="Arial"/>
              </w:rPr>
              <w:t>Grievance Mechanism</w:t>
            </w:r>
            <w:r>
              <w:rPr>
                <w:webHidden/>
              </w:rPr>
              <w:tab/>
            </w:r>
            <w:r>
              <w:rPr>
                <w:webHidden/>
              </w:rPr>
              <w:fldChar w:fldCharType="begin"/>
            </w:r>
            <w:r>
              <w:rPr>
                <w:webHidden/>
              </w:rPr>
              <w:instrText xml:space="preserve"> PAGEREF _Toc229650198 \h </w:instrText>
            </w:r>
            <w:r>
              <w:rPr>
                <w:webHidden/>
              </w:rPr>
            </w:r>
            <w:r>
              <w:rPr>
                <w:webHidden/>
              </w:rPr>
              <w:fldChar w:fldCharType="separate"/>
            </w:r>
            <w:r>
              <w:rPr>
                <w:webHidden/>
              </w:rPr>
              <w:t>29</w:t>
            </w:r>
            <w:r>
              <w:rPr>
                <w:webHidden/>
              </w:rPr>
              <w:fldChar w:fldCharType="end"/>
            </w:r>
          </w:hyperlink>
        </w:p>
        <w:p w14:paraId="55525C44" w14:textId="3A90C539" w:rsidR="00155C3A" w:rsidRPr="00155C3A" w:rsidRDefault="00155C3A">
          <w:pPr>
            <w:rPr>
              <w:rFonts w:ascii="Arial" w:hAnsi="Arial" w:cs="Arial"/>
            </w:rPr>
          </w:pPr>
          <w:r w:rsidRPr="00155C3A">
            <w:rPr>
              <w:rFonts w:ascii="Arial" w:hAnsi="Arial" w:cs="Arial"/>
              <w:b/>
              <w:bCs/>
              <w:noProof/>
            </w:rPr>
            <w:fldChar w:fldCharType="end"/>
          </w:r>
        </w:p>
      </w:sdtContent>
    </w:sdt>
    <w:p w14:paraId="65F94CA7" w14:textId="77777777" w:rsidR="008723DE" w:rsidRPr="00155C3A" w:rsidRDefault="00F458A5" w:rsidP="00AA35EE">
      <w:pPr>
        <w:pStyle w:val="BodyText"/>
        <w:spacing w:before="0" w:after="120" w:line="240" w:lineRule="auto"/>
        <w:rPr>
          <w:rFonts w:ascii="Arial" w:hAnsi="Arial" w:cs="Arial"/>
          <w:noProof/>
          <w:vanish/>
          <w:color w:val="FF0000"/>
        </w:rPr>
      </w:pPr>
      <w:r w:rsidRPr="00155C3A">
        <w:rPr>
          <w:rFonts w:ascii="Arial" w:hAnsi="Arial" w:cs="Arial"/>
          <w:noProof/>
          <w:vanish/>
          <w:color w:val="FF0000"/>
        </w:rPr>
        <w:t>The text below shall be included in reports predominantly comprising advisory / second­party services. If the report pertains solely to conformity assessment / independent third-party services, the inclusion of the below disclaimer is not required and may be omitted by deleting this page in its entirety.</w:t>
      </w:r>
      <w:bookmarkEnd w:id="1"/>
    </w:p>
    <w:p w14:paraId="3DC143A7" w14:textId="77777777" w:rsidR="00AD3E7C" w:rsidRPr="00155C3A" w:rsidRDefault="00AD3E7C" w:rsidP="00455B6A">
      <w:pPr>
        <w:pStyle w:val="BodyText"/>
        <w:jc w:val="left"/>
        <w:rPr>
          <w:rFonts w:ascii="Arial" w:hAnsi="Arial" w:cs="Arial"/>
        </w:rPr>
        <w:sectPr w:rsidR="00AD3E7C" w:rsidRPr="00155C3A" w:rsidSect="00AD3E7C">
          <w:headerReference w:type="even" r:id="rId18"/>
          <w:headerReference w:type="default" r:id="rId19"/>
          <w:footerReference w:type="even" r:id="rId20"/>
          <w:footerReference w:type="default" r:id="rId21"/>
          <w:headerReference w:type="first" r:id="rId22"/>
          <w:footerReference w:type="first" r:id="rId23"/>
          <w:pgSz w:w="12240" w:h="15840"/>
          <w:pgMar w:top="1757" w:right="1134" w:bottom="1361" w:left="1191" w:header="774" w:footer="567" w:gutter="0"/>
          <w:pgNumType w:fmt="lowerRoman" w:start="1"/>
          <w:cols w:space="708"/>
          <w:docGrid w:linePitch="360"/>
        </w:sectPr>
      </w:pPr>
    </w:p>
    <w:p w14:paraId="538410F0" w14:textId="2E077DB2" w:rsidR="008723DE" w:rsidRPr="00155C3A" w:rsidRDefault="008723DE">
      <w:pPr>
        <w:rPr>
          <w:rFonts w:ascii="Arial" w:hAnsi="Arial" w:cs="Arial"/>
          <w:sz w:val="2"/>
        </w:rPr>
      </w:pPr>
    </w:p>
    <w:p w14:paraId="0C8A9F3B" w14:textId="77777777" w:rsidR="008723DE" w:rsidRPr="00155C3A" w:rsidRDefault="00F458A5">
      <w:pPr>
        <w:rPr>
          <w:rFonts w:ascii="Arial" w:hAnsi="Arial" w:cs="Arial"/>
          <w:sz w:val="2"/>
        </w:rPr>
      </w:pPr>
      <w:r w:rsidRPr="00155C3A">
        <w:rPr>
          <w:rFonts w:ascii="Arial" w:hAnsi="Arial" w:cs="Arial"/>
          <w:sz w:val="2"/>
        </w:rPr>
        <w:t xml:space="preserve"> </w:t>
      </w:r>
    </w:p>
    <w:p w14:paraId="238DF66F" w14:textId="77777777" w:rsidR="00FA204C" w:rsidRPr="00155C3A" w:rsidRDefault="00FA204C" w:rsidP="00FA204C">
      <w:pPr>
        <w:pStyle w:val="Heading1"/>
        <w:ind w:left="454" w:hanging="454"/>
        <w:rPr>
          <w:rFonts w:ascii="Arial" w:hAnsi="Arial" w:cs="Arial"/>
        </w:rPr>
      </w:pPr>
      <w:bookmarkStart w:id="2" w:name="_Toc229650166"/>
      <w:bookmarkStart w:id="3" w:name="_Toc229489975"/>
      <w:bookmarkStart w:id="4" w:name="_Toc374105605"/>
      <w:r w:rsidRPr="00155C3A">
        <w:rPr>
          <w:rFonts w:ascii="Arial" w:hAnsi="Arial" w:cs="Arial"/>
        </w:rPr>
        <w:t>Purpose of the Non-Technical Summary</w:t>
      </w:r>
      <w:bookmarkEnd w:id="2"/>
    </w:p>
    <w:p w14:paraId="1833B2AE" w14:textId="77777777" w:rsidR="00FA204C" w:rsidRPr="00155C3A" w:rsidRDefault="00FA204C" w:rsidP="00FA204C">
      <w:pPr>
        <w:pStyle w:val="BodyText"/>
        <w:rPr>
          <w:rFonts w:ascii="Arial" w:hAnsi="Arial" w:cs="Arial"/>
        </w:rPr>
      </w:pPr>
      <w:r w:rsidRPr="00155C3A">
        <w:rPr>
          <w:rFonts w:ascii="Arial" w:hAnsi="Arial" w:cs="Arial"/>
        </w:rPr>
        <w:t xml:space="preserve">This Non-Technical Summary (NTS) provides a clear and accessible overview of the </w:t>
      </w:r>
      <w:proofErr w:type="spellStart"/>
      <w:r w:rsidRPr="00155C3A">
        <w:rPr>
          <w:rFonts w:ascii="Arial" w:hAnsi="Arial" w:cs="Arial"/>
        </w:rPr>
        <w:t>Dunarea</w:t>
      </w:r>
      <w:proofErr w:type="spellEnd"/>
      <w:r w:rsidRPr="00155C3A">
        <w:rPr>
          <w:rFonts w:ascii="Arial" w:hAnsi="Arial" w:cs="Arial"/>
        </w:rPr>
        <w:t xml:space="preserve"> East Wind Farm Project and its potential environmental and social effects. It is intended for non-specialist stakeholders, including local communities, authorities, and financial institutions.</w:t>
      </w:r>
    </w:p>
    <w:p w14:paraId="125A7316" w14:textId="77777777" w:rsidR="00FA204C" w:rsidRPr="00155C3A" w:rsidRDefault="00FA204C" w:rsidP="00FA204C">
      <w:pPr>
        <w:pStyle w:val="BodyText"/>
        <w:rPr>
          <w:rFonts w:ascii="Arial" w:hAnsi="Arial" w:cs="Arial"/>
        </w:rPr>
      </w:pPr>
      <w:r w:rsidRPr="00155C3A">
        <w:rPr>
          <w:rFonts w:ascii="Arial" w:hAnsi="Arial" w:cs="Arial"/>
        </w:rPr>
        <w:t xml:space="preserve">The NTS </w:t>
      </w:r>
      <w:proofErr w:type="spellStart"/>
      <w:r w:rsidRPr="00155C3A">
        <w:rPr>
          <w:rFonts w:ascii="Arial" w:hAnsi="Arial" w:cs="Arial"/>
        </w:rPr>
        <w:t>summarises</w:t>
      </w:r>
      <w:proofErr w:type="spellEnd"/>
      <w:r w:rsidRPr="00155C3A">
        <w:rPr>
          <w:rFonts w:ascii="Arial" w:hAnsi="Arial" w:cs="Arial"/>
        </w:rPr>
        <w:t xml:space="preserve"> the key findings of the Environmental and Social Impact Assessment (ESIA), including the project description, main risks and impacts, and the measures proposed to manage them. Its objective is to support transparent communication and informed decision-making, in line with international lender requirements.</w:t>
      </w:r>
    </w:p>
    <w:p w14:paraId="7999C5CF" w14:textId="754DFCE8" w:rsidR="00B84D44" w:rsidRPr="00155C3A" w:rsidRDefault="008E0BBE" w:rsidP="003E5CAC">
      <w:pPr>
        <w:pStyle w:val="Heading1"/>
        <w:ind w:left="454" w:hanging="454"/>
        <w:rPr>
          <w:rFonts w:ascii="Arial" w:hAnsi="Arial" w:cs="Arial"/>
        </w:rPr>
      </w:pPr>
      <w:bookmarkStart w:id="5" w:name="_Toc229650167"/>
      <w:r w:rsidRPr="00155C3A">
        <w:rPr>
          <w:rFonts w:ascii="Arial" w:hAnsi="Arial" w:cs="Arial"/>
        </w:rPr>
        <w:t>Project Overview</w:t>
      </w:r>
      <w:bookmarkEnd w:id="3"/>
      <w:bookmarkEnd w:id="5"/>
    </w:p>
    <w:p w14:paraId="6FFF48D8" w14:textId="357CD3C4" w:rsidR="0058137F" w:rsidRPr="00155C3A" w:rsidRDefault="00A97688" w:rsidP="008E0BBE">
      <w:pPr>
        <w:pStyle w:val="BodyText"/>
        <w:rPr>
          <w:rFonts w:ascii="Arial" w:hAnsi="Arial" w:cs="Arial"/>
        </w:rPr>
      </w:pPr>
      <w:r w:rsidRPr="00155C3A">
        <w:rPr>
          <w:rFonts w:ascii="Arial" w:hAnsi="Arial" w:cs="Arial"/>
        </w:rPr>
        <w:t xml:space="preserve">The </w:t>
      </w:r>
      <w:proofErr w:type="spellStart"/>
      <w:r w:rsidRPr="00155C3A">
        <w:rPr>
          <w:rFonts w:ascii="Arial" w:hAnsi="Arial" w:cs="Arial"/>
        </w:rPr>
        <w:t>Dunarea</w:t>
      </w:r>
      <w:proofErr w:type="spellEnd"/>
      <w:r w:rsidRPr="00155C3A">
        <w:rPr>
          <w:rFonts w:ascii="Arial" w:hAnsi="Arial" w:cs="Arial"/>
        </w:rPr>
        <w:t xml:space="preserve"> Wind Farm Project is among Romania’s largest onshore renewable energy initiatives. Originally planned as a single 600 MW project in Constanța County, it is jointly developed by </w:t>
      </w:r>
      <w:proofErr w:type="spellStart"/>
      <w:r w:rsidRPr="00155C3A">
        <w:rPr>
          <w:rFonts w:ascii="Arial" w:hAnsi="Arial" w:cs="Arial"/>
        </w:rPr>
        <w:t>Consenswind</w:t>
      </w:r>
      <w:proofErr w:type="spellEnd"/>
      <w:r w:rsidR="0058693D">
        <w:rPr>
          <w:rFonts w:ascii="Arial" w:hAnsi="Arial" w:cs="Arial"/>
        </w:rPr>
        <w:t xml:space="preserve"> S.R.L</w:t>
      </w:r>
      <w:r w:rsidRPr="00155C3A">
        <w:rPr>
          <w:rFonts w:ascii="Arial" w:hAnsi="Arial" w:cs="Arial"/>
        </w:rPr>
        <w:t xml:space="preserve">, </w:t>
      </w:r>
      <w:proofErr w:type="spellStart"/>
      <w:r w:rsidRPr="00155C3A">
        <w:rPr>
          <w:rFonts w:ascii="Arial" w:hAnsi="Arial" w:cs="Arial"/>
        </w:rPr>
        <w:t>Midmar</w:t>
      </w:r>
      <w:proofErr w:type="spellEnd"/>
      <w:r w:rsidRPr="00155C3A">
        <w:rPr>
          <w:rFonts w:ascii="Arial" w:hAnsi="Arial" w:cs="Arial"/>
        </w:rPr>
        <w:t xml:space="preserve"> </w:t>
      </w:r>
      <w:proofErr w:type="spellStart"/>
      <w:r w:rsidRPr="00155C3A">
        <w:rPr>
          <w:rFonts w:ascii="Arial" w:hAnsi="Arial" w:cs="Arial"/>
        </w:rPr>
        <w:t>Callatis</w:t>
      </w:r>
      <w:proofErr w:type="spellEnd"/>
      <w:r w:rsidR="0058693D">
        <w:rPr>
          <w:rFonts w:ascii="Arial" w:hAnsi="Arial" w:cs="Arial"/>
        </w:rPr>
        <w:t xml:space="preserve"> S.R.L</w:t>
      </w:r>
      <w:r w:rsidRPr="00155C3A">
        <w:rPr>
          <w:rFonts w:ascii="Arial" w:hAnsi="Arial" w:cs="Arial"/>
        </w:rPr>
        <w:t xml:space="preserve">, and UK-based </w:t>
      </w:r>
      <w:proofErr w:type="spellStart"/>
      <w:r w:rsidRPr="00155C3A">
        <w:rPr>
          <w:rFonts w:ascii="Arial" w:hAnsi="Arial" w:cs="Arial"/>
        </w:rPr>
        <w:t>Rezolv</w:t>
      </w:r>
      <w:proofErr w:type="spellEnd"/>
      <w:r w:rsidRPr="00155C3A">
        <w:rPr>
          <w:rFonts w:ascii="Arial" w:hAnsi="Arial" w:cs="Arial"/>
        </w:rPr>
        <w:t xml:space="preserve"> Energy. The project was divided into </w:t>
      </w:r>
      <w:proofErr w:type="spellStart"/>
      <w:r w:rsidRPr="00155C3A">
        <w:rPr>
          <w:rFonts w:ascii="Arial" w:hAnsi="Arial" w:cs="Arial"/>
        </w:rPr>
        <w:t>Dunarea</w:t>
      </w:r>
      <w:proofErr w:type="spellEnd"/>
      <w:r w:rsidRPr="00155C3A">
        <w:rPr>
          <w:rFonts w:ascii="Arial" w:hAnsi="Arial" w:cs="Arial"/>
        </w:rPr>
        <w:t xml:space="preserve"> East (</w:t>
      </w:r>
      <w:proofErr w:type="spellStart"/>
      <w:r w:rsidRPr="00155C3A">
        <w:rPr>
          <w:rFonts w:ascii="Arial" w:hAnsi="Arial" w:cs="Arial"/>
        </w:rPr>
        <w:t>Deleni</w:t>
      </w:r>
      <w:proofErr w:type="spellEnd"/>
      <w:r w:rsidRPr="00155C3A">
        <w:rPr>
          <w:rFonts w:ascii="Arial" w:hAnsi="Arial" w:cs="Arial"/>
        </w:rPr>
        <w:t xml:space="preserve"> Commune) and </w:t>
      </w:r>
      <w:proofErr w:type="spellStart"/>
      <w:r w:rsidRPr="00155C3A">
        <w:rPr>
          <w:rFonts w:ascii="Arial" w:hAnsi="Arial" w:cs="Arial"/>
        </w:rPr>
        <w:t>Dunarea</w:t>
      </w:r>
      <w:proofErr w:type="spellEnd"/>
      <w:r w:rsidRPr="00155C3A">
        <w:rPr>
          <w:rFonts w:ascii="Arial" w:hAnsi="Arial" w:cs="Arial"/>
        </w:rPr>
        <w:t xml:space="preserve"> West (</w:t>
      </w:r>
      <w:proofErr w:type="spellStart"/>
      <w:r w:rsidRPr="00155C3A">
        <w:rPr>
          <w:rFonts w:ascii="Arial" w:hAnsi="Arial" w:cs="Arial"/>
        </w:rPr>
        <w:t>Adamclisi</w:t>
      </w:r>
      <w:proofErr w:type="spellEnd"/>
      <w:r w:rsidRPr="00155C3A">
        <w:rPr>
          <w:rFonts w:ascii="Arial" w:hAnsi="Arial" w:cs="Arial"/>
        </w:rPr>
        <w:t xml:space="preserve"> Commune), with th</w:t>
      </w:r>
      <w:r w:rsidR="007C0D8E" w:rsidRPr="00155C3A">
        <w:rPr>
          <w:rFonts w:ascii="Arial" w:hAnsi="Arial" w:cs="Arial"/>
        </w:rPr>
        <w:t>e current</w:t>
      </w:r>
      <w:r w:rsidRPr="00155C3A">
        <w:rPr>
          <w:rFonts w:ascii="Arial" w:hAnsi="Arial" w:cs="Arial"/>
        </w:rPr>
        <w:t xml:space="preserve"> ESIA focusing on </w:t>
      </w:r>
      <w:proofErr w:type="spellStart"/>
      <w:r w:rsidRPr="00155C3A">
        <w:rPr>
          <w:rFonts w:ascii="Arial" w:hAnsi="Arial" w:cs="Arial"/>
        </w:rPr>
        <w:t>Dunarea</w:t>
      </w:r>
      <w:proofErr w:type="spellEnd"/>
      <w:r w:rsidRPr="00155C3A">
        <w:rPr>
          <w:rFonts w:ascii="Arial" w:hAnsi="Arial" w:cs="Arial"/>
        </w:rPr>
        <w:t xml:space="preserve"> East</w:t>
      </w:r>
      <w:r w:rsidR="006C49E5" w:rsidRPr="00155C3A">
        <w:rPr>
          <w:rFonts w:ascii="Arial" w:hAnsi="Arial" w:cs="Arial"/>
        </w:rPr>
        <w:t xml:space="preserve"> (hereafter “the Project”)</w:t>
      </w:r>
      <w:r w:rsidRPr="00155C3A">
        <w:rPr>
          <w:rFonts w:ascii="Arial" w:hAnsi="Arial" w:cs="Arial"/>
        </w:rPr>
        <w:t xml:space="preserve">, which has an approved capacity of 300 MW and an expected annual electricity production of approximately 750 GWh. </w:t>
      </w:r>
    </w:p>
    <w:p w14:paraId="07DFD991" w14:textId="77777777" w:rsidR="008A5EA7" w:rsidRPr="00155C3A" w:rsidRDefault="00A97688" w:rsidP="008E0BBE">
      <w:pPr>
        <w:pStyle w:val="BodyText"/>
        <w:rPr>
          <w:rFonts w:ascii="Arial" w:hAnsi="Arial" w:cs="Arial"/>
        </w:rPr>
      </w:pPr>
      <w:r w:rsidRPr="00155C3A">
        <w:rPr>
          <w:rFonts w:ascii="Arial" w:hAnsi="Arial" w:cs="Arial"/>
        </w:rPr>
        <w:t xml:space="preserve">The project began in 2010 with wind assessments and preliminary designs. Environmental permitting evolved over time, culminating in a Revised Environmental Agreement in 2025 approving 45 turbines. </w:t>
      </w:r>
    </w:p>
    <w:p w14:paraId="31AA3331" w14:textId="77777777" w:rsidR="008A5EA7" w:rsidRPr="00155C3A" w:rsidRDefault="008A5EA7" w:rsidP="008A5EA7">
      <w:pPr>
        <w:keepNext/>
        <w:spacing w:before="40" w:after="140" w:line="280" w:lineRule="atLeast"/>
        <w:jc w:val="center"/>
        <w:rPr>
          <w:rFonts w:ascii="Arial" w:hAnsi="Arial" w:cs="Arial"/>
        </w:rPr>
      </w:pPr>
      <w:r w:rsidRPr="00155C3A">
        <w:rPr>
          <w:rFonts w:ascii="Arial" w:hAnsi="Arial" w:cs="Arial"/>
          <w:noProof/>
        </w:rPr>
        <w:drawing>
          <wp:inline distT="0" distB="0" distL="0" distR="0" wp14:anchorId="2499F6C9" wp14:editId="419D482C">
            <wp:extent cx="6247763" cy="2156604"/>
            <wp:effectExtent l="19050" t="19050" r="20320" b="15240"/>
            <wp:docPr id="260955332" name="Picture 3" descr="A line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55332" name="Picture 3" descr="A line of blue dots&#10;&#10;AI-generated content may be incorrect."/>
                    <pic:cNvPicPr>
                      <a:picLocks noChangeAspect="1" noChangeArrowheads="1"/>
                    </pic:cNvPicPr>
                  </pic:nvPicPr>
                  <pic:blipFill rotWithShape="1">
                    <a:blip r:embed="rId24">
                      <a:extLst>
                        <a:ext uri="{28A0092B-C50C-407E-A947-70E740481C1C}">
                          <a14:useLocalDpi xmlns:a14="http://schemas.microsoft.com/office/drawing/2010/main" val="0"/>
                        </a:ext>
                      </a:extLst>
                    </a:blip>
                    <a:srcRect t="13151" b="10375"/>
                    <a:stretch>
                      <a:fillRect/>
                    </a:stretch>
                  </pic:blipFill>
                  <pic:spPr bwMode="auto">
                    <a:xfrm>
                      <a:off x="0" y="0"/>
                      <a:ext cx="6268773" cy="2163856"/>
                    </a:xfrm>
                    <a:prstGeom prst="rect">
                      <a:avLst/>
                    </a:prstGeom>
                    <a:noFill/>
                    <a:ln>
                      <a:solidFill>
                        <a:sysClr val="window" lastClr="FFFFFF">
                          <a:lumMod val="75000"/>
                        </a:sysClr>
                      </a:solidFill>
                    </a:ln>
                    <a:extLst>
                      <a:ext uri="{53640926-AAD7-44D8-BBD7-CCE9431645EC}">
                        <a14:shadowObscured xmlns:a14="http://schemas.microsoft.com/office/drawing/2010/main"/>
                      </a:ext>
                    </a:extLst>
                  </pic:spPr>
                </pic:pic>
              </a:graphicData>
            </a:graphic>
          </wp:inline>
        </w:drawing>
      </w:r>
    </w:p>
    <w:p w14:paraId="697ABC62" w14:textId="7D8C51E2" w:rsidR="008A5EA7" w:rsidRPr="00155C3A" w:rsidRDefault="008A5EA7" w:rsidP="008A5EA7">
      <w:pPr>
        <w:pStyle w:val="Caption"/>
        <w:jc w:val="center"/>
        <w:rPr>
          <w:rFonts w:ascii="Arial" w:hAnsi="Arial" w:cs="Arial"/>
        </w:rPr>
      </w:pPr>
      <w:bookmarkStart w:id="6" w:name="_Toc214270820"/>
      <w:bookmarkStart w:id="7" w:name="_Toc227851284"/>
      <w:r w:rsidRPr="00155C3A">
        <w:rPr>
          <w:rFonts w:ascii="Arial" w:hAnsi="Arial" w:cs="Arial"/>
        </w:rPr>
        <w:t xml:space="preserve">Key permitting steps of the </w:t>
      </w:r>
      <w:proofErr w:type="spellStart"/>
      <w:r w:rsidRPr="00155C3A">
        <w:rPr>
          <w:rFonts w:ascii="Arial" w:hAnsi="Arial" w:cs="Arial"/>
        </w:rPr>
        <w:t>Dunarea</w:t>
      </w:r>
      <w:proofErr w:type="spellEnd"/>
      <w:r w:rsidRPr="00155C3A">
        <w:rPr>
          <w:rFonts w:ascii="Arial" w:hAnsi="Arial" w:cs="Arial"/>
        </w:rPr>
        <w:t xml:space="preserve"> East Wind Farm</w:t>
      </w:r>
      <w:bookmarkEnd w:id="6"/>
      <w:bookmarkEnd w:id="7"/>
    </w:p>
    <w:p w14:paraId="4AE51493" w14:textId="40408FF7" w:rsidR="008E0BBE" w:rsidRPr="00155C3A" w:rsidRDefault="00A97688" w:rsidP="008E0BBE">
      <w:pPr>
        <w:pStyle w:val="BodyText"/>
        <w:rPr>
          <w:rFonts w:ascii="Arial" w:hAnsi="Arial" w:cs="Arial"/>
        </w:rPr>
      </w:pPr>
      <w:r w:rsidRPr="00155C3A">
        <w:rPr>
          <w:rFonts w:ascii="Arial" w:hAnsi="Arial" w:cs="Arial"/>
        </w:rPr>
        <w:t xml:space="preserve">The </w:t>
      </w:r>
      <w:r w:rsidR="00385B1E" w:rsidRPr="00155C3A">
        <w:rPr>
          <w:rFonts w:ascii="Arial" w:hAnsi="Arial" w:cs="Arial"/>
        </w:rPr>
        <w:t xml:space="preserve">international Environmental Social Impact Assessment (ESIA) </w:t>
      </w:r>
      <w:r w:rsidRPr="00155C3A">
        <w:rPr>
          <w:rFonts w:ascii="Arial" w:hAnsi="Arial" w:cs="Arial"/>
        </w:rPr>
        <w:t xml:space="preserve">process, initially led by ERM in 2023, was resumed by DNV Italy in 2025 to reflect </w:t>
      </w:r>
      <w:proofErr w:type="spellStart"/>
      <w:r w:rsidRPr="00155C3A">
        <w:rPr>
          <w:rFonts w:ascii="Arial" w:hAnsi="Arial" w:cs="Arial"/>
        </w:rPr>
        <w:t>Dunarea</w:t>
      </w:r>
      <w:proofErr w:type="spellEnd"/>
      <w:r w:rsidRPr="00155C3A">
        <w:rPr>
          <w:rFonts w:ascii="Arial" w:hAnsi="Arial" w:cs="Arial"/>
        </w:rPr>
        <w:t xml:space="preserve"> East’s ready-to-build status.</w:t>
      </w:r>
    </w:p>
    <w:p w14:paraId="7788D742" w14:textId="1B54E82E" w:rsidR="005B45DB" w:rsidRPr="00155C3A" w:rsidRDefault="005B45DB" w:rsidP="004B6B4B">
      <w:pPr>
        <w:pStyle w:val="Heading1"/>
        <w:ind w:left="454" w:hanging="454"/>
        <w:rPr>
          <w:rFonts w:ascii="Arial" w:hAnsi="Arial" w:cs="Arial"/>
        </w:rPr>
      </w:pPr>
      <w:bookmarkStart w:id="8" w:name="_Toc229489979"/>
      <w:bookmarkStart w:id="9" w:name="_Toc229650168"/>
      <w:r w:rsidRPr="00155C3A">
        <w:rPr>
          <w:rFonts w:ascii="Arial" w:hAnsi="Arial" w:cs="Arial"/>
        </w:rPr>
        <w:t>Project Location</w:t>
      </w:r>
      <w:bookmarkEnd w:id="8"/>
      <w:bookmarkEnd w:id="9"/>
    </w:p>
    <w:p w14:paraId="57B6E5B4" w14:textId="15D70D12" w:rsidR="005B45DB" w:rsidRPr="00155C3A" w:rsidRDefault="005B45DB" w:rsidP="005B45DB">
      <w:pPr>
        <w:pStyle w:val="BodyText"/>
        <w:rPr>
          <w:rFonts w:ascii="Arial" w:hAnsi="Arial" w:cs="Arial"/>
        </w:rPr>
      </w:pPr>
      <w:r w:rsidRPr="00155C3A">
        <w:rPr>
          <w:rFonts w:ascii="Arial" w:hAnsi="Arial" w:cs="Arial"/>
        </w:rPr>
        <w:t xml:space="preserve">The </w:t>
      </w:r>
      <w:proofErr w:type="spellStart"/>
      <w:r w:rsidRPr="00155C3A">
        <w:rPr>
          <w:rFonts w:ascii="Arial" w:hAnsi="Arial" w:cs="Arial"/>
        </w:rPr>
        <w:t>Dunarea</w:t>
      </w:r>
      <w:proofErr w:type="spellEnd"/>
      <w:r w:rsidRPr="00155C3A">
        <w:rPr>
          <w:rFonts w:ascii="Arial" w:hAnsi="Arial" w:cs="Arial"/>
        </w:rPr>
        <w:t xml:space="preserve"> East Wind Farm is situated in the extra-urban area of </w:t>
      </w:r>
      <w:proofErr w:type="spellStart"/>
      <w:r w:rsidRPr="00155C3A">
        <w:rPr>
          <w:rFonts w:ascii="Arial" w:hAnsi="Arial" w:cs="Arial"/>
        </w:rPr>
        <w:t>Deleni</w:t>
      </w:r>
      <w:proofErr w:type="spellEnd"/>
      <w:r w:rsidRPr="00155C3A">
        <w:rPr>
          <w:rFonts w:ascii="Arial" w:hAnsi="Arial" w:cs="Arial"/>
        </w:rPr>
        <w:t xml:space="preserve"> Commune, Constanța County, southeastern Romania, entirely outside built-up zones and covering agricultural land, pasture, </w:t>
      </w:r>
      <w:r w:rsidRPr="00155C3A">
        <w:rPr>
          <w:rFonts w:ascii="Arial" w:hAnsi="Arial" w:cs="Arial"/>
        </w:rPr>
        <w:lastRenderedPageBreak/>
        <w:t xml:space="preserve">and farm roads. Land ownership is primarily private, with a small portion of communal pastureland, and the area remains designated for agricultural use. The site is bordered by </w:t>
      </w:r>
      <w:proofErr w:type="spellStart"/>
      <w:r w:rsidRPr="00155C3A">
        <w:rPr>
          <w:rFonts w:ascii="Arial" w:hAnsi="Arial" w:cs="Arial"/>
        </w:rPr>
        <w:t>Peștera</w:t>
      </w:r>
      <w:proofErr w:type="spellEnd"/>
      <w:r w:rsidRPr="00155C3A">
        <w:rPr>
          <w:rFonts w:ascii="Arial" w:hAnsi="Arial" w:cs="Arial"/>
        </w:rPr>
        <w:t xml:space="preserve">, </w:t>
      </w:r>
      <w:proofErr w:type="spellStart"/>
      <w:r w:rsidRPr="00155C3A">
        <w:rPr>
          <w:rFonts w:ascii="Arial" w:hAnsi="Arial" w:cs="Arial"/>
        </w:rPr>
        <w:t>Independența</w:t>
      </w:r>
      <w:proofErr w:type="spellEnd"/>
      <w:r w:rsidRPr="00155C3A">
        <w:rPr>
          <w:rFonts w:ascii="Arial" w:hAnsi="Arial" w:cs="Arial"/>
        </w:rPr>
        <w:t xml:space="preserve">, </w:t>
      </w:r>
      <w:proofErr w:type="spellStart"/>
      <w:r w:rsidRPr="00155C3A">
        <w:rPr>
          <w:rFonts w:ascii="Arial" w:hAnsi="Arial" w:cs="Arial"/>
        </w:rPr>
        <w:t>Cobadin</w:t>
      </w:r>
      <w:proofErr w:type="spellEnd"/>
      <w:r w:rsidRPr="00155C3A">
        <w:rPr>
          <w:rFonts w:ascii="Arial" w:hAnsi="Arial" w:cs="Arial"/>
        </w:rPr>
        <w:t xml:space="preserve">, and </w:t>
      </w:r>
      <w:proofErr w:type="spellStart"/>
      <w:r w:rsidRPr="00155C3A">
        <w:rPr>
          <w:rFonts w:ascii="Arial" w:hAnsi="Arial" w:cs="Arial"/>
        </w:rPr>
        <w:t>Adamclisi</w:t>
      </w:r>
      <w:proofErr w:type="spellEnd"/>
      <w:r w:rsidRPr="00155C3A">
        <w:rPr>
          <w:rFonts w:ascii="Arial" w:hAnsi="Arial" w:cs="Arial"/>
        </w:rPr>
        <w:t xml:space="preserve"> Municipalities. </w:t>
      </w:r>
    </w:p>
    <w:p w14:paraId="7351754E" w14:textId="15F7C0AA" w:rsidR="006441A8" w:rsidRPr="00155C3A" w:rsidRDefault="005C3E3C" w:rsidP="006441A8">
      <w:pPr>
        <w:keepNext/>
        <w:spacing w:before="40" w:after="140" w:line="280" w:lineRule="atLeast"/>
        <w:jc w:val="center"/>
        <w:rPr>
          <w:rFonts w:ascii="Arial" w:hAnsi="Arial" w:cs="Arial"/>
        </w:rPr>
      </w:pPr>
      <w:r w:rsidRPr="00155C3A">
        <w:rPr>
          <w:rFonts w:ascii="Arial" w:hAnsi="Arial" w:cs="Arial"/>
          <w:noProof/>
        </w:rPr>
        <w:drawing>
          <wp:inline distT="0" distB="0" distL="0" distR="0" wp14:anchorId="20F2433C" wp14:editId="3E24F517">
            <wp:extent cx="6296025" cy="4451985"/>
            <wp:effectExtent l="19050" t="19050" r="28575" b="24765"/>
            <wp:docPr id="859055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chemeClr val="bg1">
                          <a:lumMod val="75000"/>
                        </a:schemeClr>
                      </a:solidFill>
                    </a:ln>
                  </pic:spPr>
                </pic:pic>
              </a:graphicData>
            </a:graphic>
          </wp:inline>
        </w:drawing>
      </w:r>
    </w:p>
    <w:p w14:paraId="170E222E" w14:textId="6A9EEE25" w:rsidR="006441A8" w:rsidRDefault="006441A8" w:rsidP="006441A8">
      <w:pPr>
        <w:pStyle w:val="Caption"/>
        <w:jc w:val="center"/>
        <w:rPr>
          <w:rFonts w:ascii="Arial" w:hAnsi="Arial" w:cs="Arial"/>
        </w:rPr>
      </w:pPr>
      <w:bookmarkStart w:id="10" w:name="_Toc214270821"/>
      <w:bookmarkStart w:id="11" w:name="_Toc227851285"/>
      <w:r w:rsidRPr="00155C3A">
        <w:rPr>
          <w:rFonts w:ascii="Arial" w:hAnsi="Arial" w:cs="Arial"/>
        </w:rPr>
        <w:t>Project L</w:t>
      </w:r>
      <w:bookmarkEnd w:id="10"/>
      <w:bookmarkEnd w:id="11"/>
      <w:r w:rsidR="00C81139" w:rsidRPr="00155C3A">
        <w:rPr>
          <w:rFonts w:ascii="Arial" w:hAnsi="Arial" w:cs="Arial"/>
        </w:rPr>
        <w:t>ocation</w:t>
      </w:r>
    </w:p>
    <w:p w14:paraId="337AC3D3" w14:textId="42890533" w:rsidR="00B27C8A" w:rsidRDefault="008F6EA7" w:rsidP="008F6EA7">
      <w:pPr>
        <w:pStyle w:val="Heading1"/>
      </w:pPr>
      <w:bookmarkStart w:id="12" w:name="_Toc229650169"/>
      <w:r>
        <w:t>Indicative view of the project area and local landscape</w:t>
      </w:r>
      <w:bookmarkEnd w:id="12"/>
    </w:p>
    <w:p w14:paraId="546F96A4" w14:textId="145ED1CF" w:rsidR="008F6EA7" w:rsidRPr="00FA5900" w:rsidRDefault="00CD276D" w:rsidP="00FA5900">
      <w:pPr>
        <w:jc w:val="both"/>
        <w:rPr>
          <w:rFonts w:ascii="Arial" w:hAnsi="Arial" w:cs="Arial"/>
        </w:rPr>
      </w:pPr>
      <w:r w:rsidRPr="00FA5900">
        <w:rPr>
          <w:rFonts w:ascii="Arial" w:hAnsi="Arial" w:cs="Arial"/>
        </w:rPr>
        <w:t xml:space="preserve">The Project </w:t>
      </w:r>
      <w:proofErr w:type="gramStart"/>
      <w:r w:rsidRPr="00FA5900">
        <w:rPr>
          <w:rFonts w:ascii="Arial" w:hAnsi="Arial" w:cs="Arial"/>
        </w:rPr>
        <w:t>is located in</w:t>
      </w:r>
      <w:proofErr w:type="gramEnd"/>
      <w:r w:rsidRPr="00FA5900">
        <w:rPr>
          <w:rFonts w:ascii="Arial" w:hAnsi="Arial" w:cs="Arial"/>
        </w:rPr>
        <w:t xml:space="preserve"> an open, predominantly agricultural landscape. The visual assessment considered how turbines may be seen from nearby roads, settlements and recreational viewpoints, and identified mitigation measures where relevant</w:t>
      </w:r>
      <w:r w:rsidR="00A5238A" w:rsidRPr="00FA5900">
        <w:rPr>
          <w:rFonts w:ascii="Arial" w:hAnsi="Arial" w:cs="Arial"/>
        </w:rPr>
        <w:t xml:space="preserve"> (please see below in Photomontage </w:t>
      </w:r>
      <w:r w:rsidR="005A0CA1" w:rsidRPr="00FA5900">
        <w:rPr>
          <w:rFonts w:ascii="Arial" w:hAnsi="Arial" w:cs="Arial"/>
        </w:rPr>
        <w:t xml:space="preserve">from VP1, </w:t>
      </w:r>
      <w:r w:rsidR="00853E2C" w:rsidRPr="00FA5900">
        <w:rPr>
          <w:rFonts w:ascii="Arial" w:hAnsi="Arial" w:cs="Arial"/>
        </w:rPr>
        <w:t>VP 25, VP 30, VP 39 and VP 49</w:t>
      </w:r>
      <w:r w:rsidR="00A5238A" w:rsidRPr="00FA5900">
        <w:rPr>
          <w:rFonts w:ascii="Arial" w:hAnsi="Arial" w:cs="Arial"/>
        </w:rPr>
        <w:t>)</w:t>
      </w:r>
      <w:r w:rsidR="00853E2C" w:rsidRPr="00FA5900">
        <w:rPr>
          <w:rFonts w:ascii="Arial" w:hAnsi="Arial" w:cs="Arial"/>
        </w:rPr>
        <w:t xml:space="preserve">. </w:t>
      </w:r>
    </w:p>
    <w:p w14:paraId="4DB25FE1" w14:textId="37A5695E" w:rsidR="00CD276D" w:rsidRDefault="007C7EC9" w:rsidP="008F6EA7">
      <w:r w:rsidRPr="007C7EC9">
        <w:rPr>
          <w:noProof/>
        </w:rPr>
        <w:lastRenderedPageBreak/>
        <w:drawing>
          <wp:inline distT="0" distB="0" distL="0" distR="0" wp14:anchorId="5FC81B94" wp14:editId="5D1E2EFE">
            <wp:extent cx="6296025" cy="4258310"/>
            <wp:effectExtent l="0" t="0" r="9525" b="8890"/>
            <wp:docPr id="529255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255978" name=""/>
                    <pic:cNvPicPr/>
                  </pic:nvPicPr>
                  <pic:blipFill>
                    <a:blip r:embed="rId26"/>
                    <a:stretch>
                      <a:fillRect/>
                    </a:stretch>
                  </pic:blipFill>
                  <pic:spPr>
                    <a:xfrm>
                      <a:off x="0" y="0"/>
                      <a:ext cx="6296025" cy="4258310"/>
                    </a:xfrm>
                    <a:prstGeom prst="rect">
                      <a:avLst/>
                    </a:prstGeom>
                  </pic:spPr>
                </pic:pic>
              </a:graphicData>
            </a:graphic>
          </wp:inline>
        </w:drawing>
      </w:r>
    </w:p>
    <w:p w14:paraId="151BAABA" w14:textId="14A3A42E" w:rsidR="008F6EA7" w:rsidRPr="00FA5900" w:rsidRDefault="007C7EC9" w:rsidP="00B27C8A">
      <w:pPr>
        <w:rPr>
          <w:rFonts w:ascii="Arial" w:hAnsi="Arial" w:cs="Arial"/>
          <w:b/>
          <w:bCs/>
        </w:rPr>
      </w:pPr>
      <w:r w:rsidRPr="00FA5900">
        <w:rPr>
          <w:rFonts w:ascii="Arial" w:hAnsi="Arial" w:cs="Arial"/>
          <w:b/>
          <w:bCs/>
        </w:rPr>
        <w:t xml:space="preserve">Photomontage from </w:t>
      </w:r>
      <w:r w:rsidR="005A0CA1" w:rsidRPr="00FA5900">
        <w:rPr>
          <w:rFonts w:ascii="Arial" w:hAnsi="Arial" w:cs="Arial"/>
          <w:b/>
          <w:bCs/>
        </w:rPr>
        <w:t>V</w:t>
      </w:r>
      <w:r w:rsidRPr="00FA5900">
        <w:rPr>
          <w:rFonts w:ascii="Arial" w:hAnsi="Arial" w:cs="Arial"/>
          <w:b/>
          <w:bCs/>
        </w:rPr>
        <w:t xml:space="preserve">P1 </w:t>
      </w:r>
    </w:p>
    <w:p w14:paraId="3EDF51B1" w14:textId="6799EF01" w:rsidR="00687657" w:rsidRDefault="00687657" w:rsidP="00B27C8A">
      <w:r w:rsidRPr="00687657">
        <w:rPr>
          <w:noProof/>
        </w:rPr>
        <w:lastRenderedPageBreak/>
        <w:drawing>
          <wp:inline distT="0" distB="0" distL="0" distR="0" wp14:anchorId="1772F872" wp14:editId="35A390A6">
            <wp:extent cx="6296025" cy="4245610"/>
            <wp:effectExtent l="0" t="0" r="9525" b="2540"/>
            <wp:docPr id="1902552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552535" name=""/>
                    <pic:cNvPicPr/>
                  </pic:nvPicPr>
                  <pic:blipFill>
                    <a:blip r:embed="rId27"/>
                    <a:stretch>
                      <a:fillRect/>
                    </a:stretch>
                  </pic:blipFill>
                  <pic:spPr>
                    <a:xfrm>
                      <a:off x="0" y="0"/>
                      <a:ext cx="6296025" cy="4245610"/>
                    </a:xfrm>
                    <a:prstGeom prst="rect">
                      <a:avLst/>
                    </a:prstGeom>
                  </pic:spPr>
                </pic:pic>
              </a:graphicData>
            </a:graphic>
          </wp:inline>
        </w:drawing>
      </w:r>
    </w:p>
    <w:p w14:paraId="295FFD4B" w14:textId="71CD23CB" w:rsidR="00687657" w:rsidRPr="00FA5900" w:rsidRDefault="00687657" w:rsidP="00B27C8A">
      <w:pPr>
        <w:rPr>
          <w:rFonts w:ascii="Arial" w:hAnsi="Arial" w:cs="Arial"/>
          <w:b/>
          <w:bCs/>
        </w:rPr>
      </w:pPr>
      <w:r w:rsidRPr="00FA5900">
        <w:rPr>
          <w:rFonts w:ascii="Arial" w:hAnsi="Arial" w:cs="Arial"/>
          <w:b/>
          <w:bCs/>
        </w:rPr>
        <w:t xml:space="preserve">Photomontage </w:t>
      </w:r>
      <w:proofErr w:type="gramStart"/>
      <w:r w:rsidRPr="00FA5900">
        <w:rPr>
          <w:rFonts w:ascii="Arial" w:hAnsi="Arial" w:cs="Arial"/>
          <w:b/>
          <w:bCs/>
        </w:rPr>
        <w:t>from</w:t>
      </w:r>
      <w:proofErr w:type="gramEnd"/>
      <w:r w:rsidRPr="00FA5900">
        <w:rPr>
          <w:rFonts w:ascii="Arial" w:hAnsi="Arial" w:cs="Arial"/>
          <w:b/>
          <w:bCs/>
        </w:rPr>
        <w:t xml:space="preserve"> VP25 </w:t>
      </w:r>
    </w:p>
    <w:p w14:paraId="0A27281F" w14:textId="77777777" w:rsidR="00687657" w:rsidRDefault="00687657" w:rsidP="00B27C8A"/>
    <w:p w14:paraId="70651D48" w14:textId="2291DEB4" w:rsidR="00687657" w:rsidRDefault="00900306" w:rsidP="00B27C8A">
      <w:r w:rsidRPr="00900306">
        <w:rPr>
          <w:noProof/>
        </w:rPr>
        <w:lastRenderedPageBreak/>
        <w:drawing>
          <wp:inline distT="0" distB="0" distL="0" distR="0" wp14:anchorId="511960BB" wp14:editId="00555481">
            <wp:extent cx="6296025" cy="4234180"/>
            <wp:effectExtent l="0" t="0" r="9525" b="0"/>
            <wp:docPr id="352138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38606" name=""/>
                    <pic:cNvPicPr/>
                  </pic:nvPicPr>
                  <pic:blipFill>
                    <a:blip r:embed="rId28"/>
                    <a:stretch>
                      <a:fillRect/>
                    </a:stretch>
                  </pic:blipFill>
                  <pic:spPr>
                    <a:xfrm>
                      <a:off x="0" y="0"/>
                      <a:ext cx="6296025" cy="4234180"/>
                    </a:xfrm>
                    <a:prstGeom prst="rect">
                      <a:avLst/>
                    </a:prstGeom>
                  </pic:spPr>
                </pic:pic>
              </a:graphicData>
            </a:graphic>
          </wp:inline>
        </w:drawing>
      </w:r>
    </w:p>
    <w:p w14:paraId="5AEBB6A8" w14:textId="3A1C8CC6" w:rsidR="00900306" w:rsidRPr="00FA5900" w:rsidRDefault="00900306" w:rsidP="00B27C8A">
      <w:pPr>
        <w:rPr>
          <w:rFonts w:ascii="Arial" w:hAnsi="Arial" w:cs="Arial"/>
          <w:b/>
          <w:bCs/>
        </w:rPr>
      </w:pPr>
      <w:r w:rsidRPr="00FA5900">
        <w:rPr>
          <w:rFonts w:ascii="Arial" w:hAnsi="Arial" w:cs="Arial"/>
          <w:b/>
          <w:bCs/>
        </w:rPr>
        <w:t xml:space="preserve">Photomontage from VP30 </w:t>
      </w:r>
    </w:p>
    <w:p w14:paraId="7DED0DA5" w14:textId="3203791F" w:rsidR="00AC4BD8" w:rsidRDefault="00AC4BD8" w:rsidP="00B27C8A">
      <w:r w:rsidRPr="00AC4BD8">
        <w:rPr>
          <w:noProof/>
        </w:rPr>
        <w:lastRenderedPageBreak/>
        <w:drawing>
          <wp:inline distT="0" distB="0" distL="0" distR="0" wp14:anchorId="4A4A5B60" wp14:editId="016649F4">
            <wp:extent cx="6296025" cy="4303395"/>
            <wp:effectExtent l="0" t="0" r="9525" b="1905"/>
            <wp:docPr id="1856412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12957" name=""/>
                    <pic:cNvPicPr/>
                  </pic:nvPicPr>
                  <pic:blipFill>
                    <a:blip r:embed="rId29"/>
                    <a:stretch>
                      <a:fillRect/>
                    </a:stretch>
                  </pic:blipFill>
                  <pic:spPr>
                    <a:xfrm>
                      <a:off x="0" y="0"/>
                      <a:ext cx="6296025" cy="4303395"/>
                    </a:xfrm>
                    <a:prstGeom prst="rect">
                      <a:avLst/>
                    </a:prstGeom>
                  </pic:spPr>
                </pic:pic>
              </a:graphicData>
            </a:graphic>
          </wp:inline>
        </w:drawing>
      </w:r>
    </w:p>
    <w:p w14:paraId="4C9ABDCD" w14:textId="79E0B9B1" w:rsidR="00AC4BD8" w:rsidRPr="00FA5900" w:rsidRDefault="00AC4BD8" w:rsidP="00B27C8A">
      <w:pPr>
        <w:rPr>
          <w:rFonts w:ascii="Arial" w:hAnsi="Arial" w:cs="Arial"/>
          <w:b/>
          <w:bCs/>
        </w:rPr>
      </w:pPr>
      <w:r w:rsidRPr="00FA5900">
        <w:rPr>
          <w:rFonts w:ascii="Arial" w:hAnsi="Arial" w:cs="Arial"/>
          <w:b/>
          <w:bCs/>
        </w:rPr>
        <w:t xml:space="preserve">Photomontage from VP39 </w:t>
      </w:r>
    </w:p>
    <w:p w14:paraId="32A43EE6" w14:textId="77777777" w:rsidR="00DB2F47" w:rsidRDefault="00DB2F47" w:rsidP="00B27C8A"/>
    <w:p w14:paraId="50B92B0A" w14:textId="636734EA" w:rsidR="00DB2F47" w:rsidRDefault="00DB2F47" w:rsidP="00B27C8A">
      <w:r w:rsidRPr="00DB2F47">
        <w:rPr>
          <w:noProof/>
        </w:rPr>
        <w:lastRenderedPageBreak/>
        <w:drawing>
          <wp:inline distT="0" distB="0" distL="0" distR="0" wp14:anchorId="0965F0CB" wp14:editId="21F63485">
            <wp:extent cx="6296025" cy="4325620"/>
            <wp:effectExtent l="0" t="0" r="9525" b="0"/>
            <wp:docPr id="1537940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40002" name=""/>
                    <pic:cNvPicPr/>
                  </pic:nvPicPr>
                  <pic:blipFill>
                    <a:blip r:embed="rId30"/>
                    <a:stretch>
                      <a:fillRect/>
                    </a:stretch>
                  </pic:blipFill>
                  <pic:spPr>
                    <a:xfrm>
                      <a:off x="0" y="0"/>
                      <a:ext cx="6296025" cy="4325620"/>
                    </a:xfrm>
                    <a:prstGeom prst="rect">
                      <a:avLst/>
                    </a:prstGeom>
                  </pic:spPr>
                </pic:pic>
              </a:graphicData>
            </a:graphic>
          </wp:inline>
        </w:drawing>
      </w:r>
    </w:p>
    <w:p w14:paraId="78DE7733" w14:textId="6CB6B06F" w:rsidR="00DB2F47" w:rsidRPr="00FA5900" w:rsidRDefault="00DB2F47" w:rsidP="00B27C8A">
      <w:pPr>
        <w:rPr>
          <w:rFonts w:ascii="Arial" w:hAnsi="Arial" w:cs="Arial"/>
          <w:b/>
          <w:bCs/>
        </w:rPr>
      </w:pPr>
      <w:r w:rsidRPr="00FA5900">
        <w:rPr>
          <w:rFonts w:ascii="Arial" w:hAnsi="Arial" w:cs="Arial"/>
          <w:b/>
          <w:bCs/>
        </w:rPr>
        <w:t>Photomontage from VP49</w:t>
      </w:r>
    </w:p>
    <w:p w14:paraId="68155A90" w14:textId="44854B20" w:rsidR="00B27C8A" w:rsidRDefault="00B27C8A" w:rsidP="0050256E">
      <w:pPr>
        <w:pStyle w:val="Heading1"/>
      </w:pPr>
      <w:bookmarkStart w:id="13" w:name="_Toc229650170"/>
      <w:r>
        <w:t xml:space="preserve">Environmental </w:t>
      </w:r>
      <w:r w:rsidR="0050256E">
        <w:t>sensitivities</w:t>
      </w:r>
      <w:bookmarkEnd w:id="13"/>
      <w:r w:rsidR="0050256E">
        <w:t xml:space="preserve"> </w:t>
      </w:r>
    </w:p>
    <w:p w14:paraId="76EDA1C1" w14:textId="64DE321B" w:rsidR="00B621CD" w:rsidRPr="00FA5900" w:rsidRDefault="00B621CD" w:rsidP="00FA5900">
      <w:pPr>
        <w:jc w:val="both"/>
        <w:rPr>
          <w:rFonts w:ascii="Arial" w:hAnsi="Arial" w:cs="Arial"/>
        </w:rPr>
      </w:pPr>
      <w:r w:rsidRPr="00FA5900">
        <w:rPr>
          <w:rFonts w:ascii="Arial" w:hAnsi="Arial" w:cs="Arial"/>
        </w:rPr>
        <w:t xml:space="preserve">The Project is located mainly within an agricultural landscape in </w:t>
      </w:r>
      <w:proofErr w:type="spellStart"/>
      <w:r w:rsidRPr="00FA5900">
        <w:rPr>
          <w:rFonts w:ascii="Arial" w:hAnsi="Arial" w:cs="Arial"/>
        </w:rPr>
        <w:t>Deleni</w:t>
      </w:r>
      <w:proofErr w:type="spellEnd"/>
      <w:r w:rsidRPr="00FA5900">
        <w:rPr>
          <w:rFonts w:ascii="Arial" w:hAnsi="Arial" w:cs="Arial"/>
        </w:rPr>
        <w:t xml:space="preserve"> Commune, Constanța County. The Project area partially overlaps two Natura 2000 sites, ROSCI0353 </w:t>
      </w:r>
      <w:proofErr w:type="spellStart"/>
      <w:r w:rsidRPr="00FA5900">
        <w:rPr>
          <w:rFonts w:ascii="Arial" w:hAnsi="Arial" w:cs="Arial"/>
        </w:rPr>
        <w:t>Peștera-Deleni</w:t>
      </w:r>
      <w:proofErr w:type="spellEnd"/>
      <w:r w:rsidRPr="00FA5900">
        <w:rPr>
          <w:rFonts w:ascii="Arial" w:hAnsi="Arial" w:cs="Arial"/>
        </w:rPr>
        <w:t xml:space="preserve"> and ROSCI0071 </w:t>
      </w:r>
      <w:proofErr w:type="spellStart"/>
      <w:r w:rsidRPr="00FA5900">
        <w:rPr>
          <w:rFonts w:ascii="Arial" w:hAnsi="Arial" w:cs="Arial"/>
        </w:rPr>
        <w:t>Dumbrăveni</w:t>
      </w:r>
      <w:proofErr w:type="spellEnd"/>
      <w:r w:rsidRPr="00FA5900">
        <w:rPr>
          <w:rFonts w:ascii="Arial" w:hAnsi="Arial" w:cs="Arial"/>
        </w:rPr>
        <w:t xml:space="preserve">-Valea </w:t>
      </w:r>
      <w:proofErr w:type="spellStart"/>
      <w:r w:rsidRPr="00FA5900">
        <w:rPr>
          <w:rFonts w:ascii="Arial" w:hAnsi="Arial" w:cs="Arial"/>
        </w:rPr>
        <w:t>Urluia-Lacul</w:t>
      </w:r>
      <w:proofErr w:type="spellEnd"/>
      <w:r w:rsidRPr="00FA5900">
        <w:rPr>
          <w:rFonts w:ascii="Arial" w:hAnsi="Arial" w:cs="Arial"/>
        </w:rPr>
        <w:t xml:space="preserve"> </w:t>
      </w:r>
      <w:proofErr w:type="spellStart"/>
      <w:r w:rsidRPr="00FA5900">
        <w:rPr>
          <w:rFonts w:ascii="Arial" w:hAnsi="Arial" w:cs="Arial"/>
        </w:rPr>
        <w:t>Vederoasa</w:t>
      </w:r>
      <w:proofErr w:type="spellEnd"/>
      <w:r w:rsidRPr="00FA5900">
        <w:rPr>
          <w:rFonts w:ascii="Arial" w:hAnsi="Arial" w:cs="Arial"/>
        </w:rPr>
        <w:t>, with one turbine located within each site. These turbines are located on arable land.</w:t>
      </w:r>
    </w:p>
    <w:p w14:paraId="15635FE1" w14:textId="77777777" w:rsidR="00B621CD" w:rsidRPr="00FA5900" w:rsidRDefault="00B621CD" w:rsidP="00B621CD">
      <w:pPr>
        <w:jc w:val="both"/>
        <w:rPr>
          <w:rFonts w:ascii="Arial" w:hAnsi="Arial" w:cs="Arial"/>
        </w:rPr>
      </w:pPr>
      <w:r w:rsidRPr="00FA5900">
        <w:rPr>
          <w:rFonts w:ascii="Arial" w:hAnsi="Arial" w:cs="Arial"/>
        </w:rPr>
        <w:t>The ESIA, Critical Habitat Assessment and Biodiversity Management Plan have assessed the relationship between the Project and nearby protected areas, habitats, birds, bats and other biodiversity features. The Project includes mitigation and monitoring measures to avoid or reduce impacts on biodiversity during construction and operation.</w:t>
      </w:r>
    </w:p>
    <w:p w14:paraId="38EACD6A" w14:textId="77777777" w:rsidR="00DC70F9" w:rsidRDefault="00DC70F9" w:rsidP="00B621CD">
      <w:pPr>
        <w:jc w:val="both"/>
      </w:pPr>
    </w:p>
    <w:p w14:paraId="34D5FBE0" w14:textId="1805062C" w:rsidR="00DC70F9" w:rsidRPr="00B621CD" w:rsidRDefault="00DC70F9" w:rsidP="00FA5900">
      <w:pPr>
        <w:spacing w:after="0"/>
        <w:jc w:val="center"/>
      </w:pPr>
      <w:r>
        <w:rPr>
          <w:noProof/>
        </w:rPr>
        <w:lastRenderedPageBreak/>
        <w:drawing>
          <wp:inline distT="0" distB="0" distL="0" distR="0" wp14:anchorId="13CA915E" wp14:editId="6AA1BDC6">
            <wp:extent cx="6296025" cy="4448810"/>
            <wp:effectExtent l="19050" t="19050" r="28575" b="27940"/>
            <wp:docPr id="1340462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96025" cy="4448810"/>
                    </a:xfrm>
                    <a:prstGeom prst="rect">
                      <a:avLst/>
                    </a:prstGeom>
                    <a:noFill/>
                    <a:ln>
                      <a:solidFill>
                        <a:schemeClr val="bg1">
                          <a:lumMod val="75000"/>
                        </a:schemeClr>
                      </a:solidFill>
                    </a:ln>
                  </pic:spPr>
                </pic:pic>
              </a:graphicData>
            </a:graphic>
          </wp:inline>
        </w:drawing>
      </w:r>
    </w:p>
    <w:p w14:paraId="3A360E75" w14:textId="56D74771" w:rsidR="0050256E" w:rsidRPr="00FA5900" w:rsidRDefault="00CB197F" w:rsidP="00FA5900">
      <w:pPr>
        <w:spacing w:after="0"/>
        <w:jc w:val="center"/>
        <w:rPr>
          <w:rFonts w:ascii="Arial" w:hAnsi="Arial" w:cs="Arial"/>
          <w:b/>
          <w:bCs/>
          <w:smallCaps/>
        </w:rPr>
      </w:pPr>
      <w:r w:rsidRPr="00FA5900">
        <w:rPr>
          <w:rFonts w:ascii="Arial" w:hAnsi="Arial" w:cs="Arial"/>
          <w:b/>
          <w:bCs/>
        </w:rPr>
        <w:t xml:space="preserve">Natura 2000 </w:t>
      </w:r>
      <w:r w:rsidR="00DC70F9" w:rsidRPr="00FA5900">
        <w:rPr>
          <w:rFonts w:ascii="Arial" w:hAnsi="Arial" w:cs="Arial"/>
          <w:b/>
          <w:bCs/>
        </w:rPr>
        <w:t>Protected Areas</w:t>
      </w:r>
      <w:r w:rsidRPr="00FA5900">
        <w:rPr>
          <w:rFonts w:ascii="Arial" w:hAnsi="Arial" w:cs="Arial"/>
          <w:b/>
          <w:bCs/>
        </w:rPr>
        <w:t xml:space="preserve"> in </w:t>
      </w:r>
      <w:proofErr w:type="gramStart"/>
      <w:r w:rsidRPr="00FA5900">
        <w:rPr>
          <w:rFonts w:ascii="Arial" w:hAnsi="Arial" w:cs="Arial"/>
          <w:b/>
          <w:bCs/>
        </w:rPr>
        <w:t>relation</w:t>
      </w:r>
      <w:proofErr w:type="gramEnd"/>
      <w:r w:rsidRPr="00FA5900">
        <w:rPr>
          <w:rFonts w:ascii="Arial" w:hAnsi="Arial" w:cs="Arial"/>
          <w:b/>
          <w:bCs/>
        </w:rPr>
        <w:t xml:space="preserve"> to the Project</w:t>
      </w:r>
    </w:p>
    <w:p w14:paraId="2D6442B4" w14:textId="77777777" w:rsidR="00034E55" w:rsidRPr="00155C3A" w:rsidRDefault="00034E55" w:rsidP="00034E55">
      <w:pPr>
        <w:pStyle w:val="Heading1"/>
        <w:ind w:left="454" w:hanging="454"/>
        <w:rPr>
          <w:rFonts w:ascii="Arial" w:hAnsi="Arial" w:cs="Arial"/>
        </w:rPr>
      </w:pPr>
      <w:bookmarkStart w:id="14" w:name="_Toc229650171"/>
      <w:r w:rsidRPr="00155C3A">
        <w:rPr>
          <w:rFonts w:ascii="Arial" w:hAnsi="Arial" w:cs="Arial"/>
        </w:rPr>
        <w:t>Rationale of the project</w:t>
      </w:r>
      <w:bookmarkEnd w:id="14"/>
    </w:p>
    <w:p w14:paraId="7A5FC210" w14:textId="77777777" w:rsidR="00034E55" w:rsidRPr="00155C3A" w:rsidRDefault="00034E55" w:rsidP="00034E55">
      <w:pPr>
        <w:pStyle w:val="BodyText"/>
        <w:rPr>
          <w:rFonts w:ascii="Arial" w:hAnsi="Arial" w:cs="Arial"/>
        </w:rPr>
      </w:pPr>
      <w:proofErr w:type="spellStart"/>
      <w:r w:rsidRPr="00155C3A">
        <w:rPr>
          <w:rFonts w:ascii="Arial" w:hAnsi="Arial" w:cs="Arial"/>
        </w:rPr>
        <w:t>Dunarea</w:t>
      </w:r>
      <w:proofErr w:type="spellEnd"/>
      <w:r w:rsidRPr="00155C3A">
        <w:rPr>
          <w:rFonts w:ascii="Arial" w:hAnsi="Arial" w:cs="Arial"/>
        </w:rPr>
        <w:t xml:space="preserve"> East contributes to Romania’s renewable energy expansion and EU climate objectives, directly supporting the National Integrated Energy and Climate Change Plan (PNIESC) 2020–2030 and European Union targets for renewable energy. The wind farm delivers significant environmental benefits by reducing greenhouse gas emissions, displacing fossil fuel generation, and avoiding millions of </w:t>
      </w:r>
      <w:proofErr w:type="spellStart"/>
      <w:r w:rsidRPr="00155C3A">
        <w:rPr>
          <w:rFonts w:ascii="Arial" w:hAnsi="Arial" w:cs="Arial"/>
        </w:rPr>
        <w:t>tonnes</w:t>
      </w:r>
      <w:proofErr w:type="spellEnd"/>
      <w:r w:rsidRPr="00155C3A">
        <w:rPr>
          <w:rFonts w:ascii="Arial" w:hAnsi="Arial" w:cs="Arial"/>
        </w:rPr>
        <w:t xml:space="preserve"> of CO</w:t>
      </w:r>
      <w:r w:rsidRPr="00155C3A">
        <w:rPr>
          <w:rFonts w:ascii="Cambria Math" w:hAnsi="Cambria Math" w:cs="Cambria Math"/>
        </w:rPr>
        <w:t>₂</w:t>
      </w:r>
      <w:r w:rsidRPr="00155C3A">
        <w:rPr>
          <w:rFonts w:ascii="Arial" w:hAnsi="Arial" w:cs="Arial"/>
        </w:rPr>
        <w:t>, SO</w:t>
      </w:r>
      <w:r w:rsidRPr="00155C3A">
        <w:rPr>
          <w:rFonts w:ascii="Cambria Math" w:hAnsi="Cambria Math" w:cs="Cambria Math"/>
        </w:rPr>
        <w:t>₂</w:t>
      </w:r>
      <w:r w:rsidRPr="00155C3A">
        <w:rPr>
          <w:rFonts w:ascii="Arial" w:hAnsi="Arial" w:cs="Arial"/>
        </w:rPr>
        <w:t xml:space="preserve">, and NOₓ over its operational life. The Project enhances energy security, aligns with EU Energy Union priorities, and advances global objectives for climate mitigation, sustainable energy infrastructure, and clean technology adoption. Legally, renewable electricity production is recognized as a public interest activity, with full integration into the National Electricity System and required </w:t>
      </w:r>
      <w:proofErr w:type="gramStart"/>
      <w:r w:rsidRPr="00155C3A">
        <w:rPr>
          <w:rFonts w:ascii="Arial" w:hAnsi="Arial" w:cs="Arial"/>
        </w:rPr>
        <w:t>authorizations</w:t>
      </w:r>
      <w:proofErr w:type="gramEnd"/>
      <w:r w:rsidRPr="00155C3A">
        <w:rPr>
          <w:rFonts w:ascii="Arial" w:hAnsi="Arial" w:cs="Arial"/>
        </w:rPr>
        <w:t xml:space="preserve"> from ANRE.</w:t>
      </w:r>
    </w:p>
    <w:p w14:paraId="6A97D56B" w14:textId="0BC754FF" w:rsidR="006441A8" w:rsidRPr="00155C3A" w:rsidRDefault="006C59C1" w:rsidP="006C59C1">
      <w:pPr>
        <w:pStyle w:val="Heading1"/>
        <w:ind w:left="454" w:hanging="454"/>
        <w:rPr>
          <w:rFonts w:ascii="Arial" w:hAnsi="Arial" w:cs="Arial"/>
        </w:rPr>
      </w:pPr>
      <w:bookmarkStart w:id="15" w:name="_Toc229650172"/>
      <w:r w:rsidRPr="00155C3A">
        <w:rPr>
          <w:rFonts w:ascii="Arial" w:hAnsi="Arial" w:cs="Arial"/>
        </w:rPr>
        <w:t>Project Description</w:t>
      </w:r>
      <w:bookmarkEnd w:id="15"/>
    </w:p>
    <w:p w14:paraId="1E97056E" w14:textId="1554CB9F" w:rsidR="005B45DB" w:rsidRPr="00155C3A" w:rsidRDefault="005B45DB" w:rsidP="004B6B4B">
      <w:pPr>
        <w:pStyle w:val="Heading2"/>
        <w:ind w:left="680" w:hanging="680"/>
        <w:rPr>
          <w:rFonts w:ascii="Arial" w:hAnsi="Arial" w:cs="Arial"/>
        </w:rPr>
      </w:pPr>
      <w:bookmarkStart w:id="16" w:name="_Toc229489980"/>
      <w:bookmarkStart w:id="17" w:name="_Toc229650173"/>
      <w:r w:rsidRPr="00155C3A">
        <w:rPr>
          <w:rFonts w:ascii="Arial" w:hAnsi="Arial" w:cs="Arial"/>
        </w:rPr>
        <w:t>Permanent Project Components</w:t>
      </w:r>
      <w:bookmarkEnd w:id="16"/>
      <w:bookmarkEnd w:id="17"/>
    </w:p>
    <w:p w14:paraId="31EBA1AB" w14:textId="77777777" w:rsidR="00E745AB" w:rsidRPr="00155C3A" w:rsidRDefault="005B45DB" w:rsidP="005B45DB">
      <w:pPr>
        <w:pStyle w:val="BodyText"/>
        <w:rPr>
          <w:rFonts w:ascii="Arial" w:hAnsi="Arial" w:cs="Arial"/>
        </w:rPr>
      </w:pPr>
      <w:r w:rsidRPr="00155C3A">
        <w:rPr>
          <w:rFonts w:ascii="Arial" w:hAnsi="Arial" w:cs="Arial"/>
        </w:rPr>
        <w:t>The Project’s permanent infrastructure includes</w:t>
      </w:r>
      <w:r w:rsidR="00E745AB" w:rsidRPr="00155C3A">
        <w:rPr>
          <w:rFonts w:ascii="Arial" w:hAnsi="Arial" w:cs="Arial"/>
        </w:rPr>
        <w:t>:</w:t>
      </w:r>
    </w:p>
    <w:p w14:paraId="5B2A0AA0" w14:textId="67245990" w:rsidR="00E745AB" w:rsidRPr="00155C3A" w:rsidRDefault="005B45DB" w:rsidP="000A0BF0">
      <w:pPr>
        <w:pStyle w:val="BodyText"/>
        <w:numPr>
          <w:ilvl w:val="0"/>
          <w:numId w:val="24"/>
        </w:numPr>
        <w:rPr>
          <w:rFonts w:ascii="Arial" w:hAnsi="Arial" w:cs="Arial"/>
        </w:rPr>
      </w:pPr>
      <w:r w:rsidRPr="00155C3A">
        <w:rPr>
          <w:rFonts w:ascii="Arial" w:hAnsi="Arial" w:cs="Arial"/>
        </w:rPr>
        <w:lastRenderedPageBreak/>
        <w:t>the 45 wind turbine generators (WTGs)</w:t>
      </w:r>
      <w:r w:rsidR="00DD2E14" w:rsidRPr="00155C3A">
        <w:rPr>
          <w:rFonts w:ascii="Arial" w:hAnsi="Arial" w:cs="Arial"/>
        </w:rPr>
        <w:t xml:space="preserve"> with</w:t>
      </w:r>
      <w:r w:rsidR="00E745AB" w:rsidRPr="00155C3A">
        <w:rPr>
          <w:rFonts w:ascii="Arial" w:hAnsi="Arial" w:cs="Arial"/>
        </w:rPr>
        <w:t xml:space="preserve"> a hub height between 121–128 m, and rotor diameters of 162–165 m</w:t>
      </w:r>
    </w:p>
    <w:p w14:paraId="06B20395" w14:textId="77777777" w:rsidR="00E745AB" w:rsidRPr="00155C3A" w:rsidRDefault="005B45DB" w:rsidP="000A0BF0">
      <w:pPr>
        <w:pStyle w:val="BodyText"/>
        <w:numPr>
          <w:ilvl w:val="0"/>
          <w:numId w:val="24"/>
        </w:numPr>
        <w:rPr>
          <w:rFonts w:ascii="Arial" w:hAnsi="Arial" w:cs="Arial"/>
        </w:rPr>
      </w:pPr>
      <w:r w:rsidRPr="00155C3A">
        <w:rPr>
          <w:rFonts w:ascii="Arial" w:hAnsi="Arial" w:cs="Arial"/>
        </w:rPr>
        <w:t xml:space="preserve">turbine platforms, </w:t>
      </w:r>
    </w:p>
    <w:p w14:paraId="139580FC" w14:textId="77777777" w:rsidR="00E745AB" w:rsidRPr="00155C3A" w:rsidRDefault="005B45DB" w:rsidP="000A0BF0">
      <w:pPr>
        <w:pStyle w:val="BodyText"/>
        <w:numPr>
          <w:ilvl w:val="0"/>
          <w:numId w:val="24"/>
        </w:numPr>
        <w:rPr>
          <w:rFonts w:ascii="Arial" w:hAnsi="Arial" w:cs="Arial"/>
        </w:rPr>
      </w:pPr>
      <w:r w:rsidRPr="00155C3A">
        <w:rPr>
          <w:rFonts w:ascii="Arial" w:hAnsi="Arial" w:cs="Arial"/>
        </w:rPr>
        <w:t xml:space="preserve">the 33/400 kV </w:t>
      </w:r>
      <w:proofErr w:type="spellStart"/>
      <w:r w:rsidRPr="00155C3A">
        <w:rPr>
          <w:rFonts w:ascii="Arial" w:hAnsi="Arial" w:cs="Arial"/>
        </w:rPr>
        <w:t>Deleni</w:t>
      </w:r>
      <w:proofErr w:type="spellEnd"/>
      <w:r w:rsidRPr="00155C3A">
        <w:rPr>
          <w:rFonts w:ascii="Arial" w:hAnsi="Arial" w:cs="Arial"/>
        </w:rPr>
        <w:t xml:space="preserve"> substation, </w:t>
      </w:r>
    </w:p>
    <w:p w14:paraId="3C8954D9" w14:textId="77777777" w:rsidR="00E745AB" w:rsidRPr="00155C3A" w:rsidRDefault="005B45DB" w:rsidP="000A0BF0">
      <w:pPr>
        <w:pStyle w:val="BodyText"/>
        <w:numPr>
          <w:ilvl w:val="0"/>
          <w:numId w:val="24"/>
        </w:numPr>
        <w:rPr>
          <w:rFonts w:ascii="Arial" w:hAnsi="Arial" w:cs="Arial"/>
        </w:rPr>
      </w:pPr>
      <w:r w:rsidRPr="00155C3A">
        <w:rPr>
          <w:rFonts w:ascii="Arial" w:hAnsi="Arial" w:cs="Arial"/>
        </w:rPr>
        <w:t xml:space="preserve">underground and overhead cable lines, and </w:t>
      </w:r>
    </w:p>
    <w:p w14:paraId="22B81B0A" w14:textId="6469FF53" w:rsidR="005B45DB" w:rsidRPr="00155C3A" w:rsidRDefault="005B45DB" w:rsidP="000A0BF0">
      <w:pPr>
        <w:pStyle w:val="BodyText"/>
        <w:numPr>
          <w:ilvl w:val="0"/>
          <w:numId w:val="24"/>
        </w:numPr>
        <w:rPr>
          <w:rFonts w:ascii="Arial" w:hAnsi="Arial" w:cs="Arial"/>
        </w:rPr>
      </w:pPr>
      <w:r w:rsidRPr="00155C3A">
        <w:rPr>
          <w:rFonts w:ascii="Arial" w:hAnsi="Arial" w:cs="Arial"/>
        </w:rPr>
        <w:t>access roads.</w:t>
      </w:r>
    </w:p>
    <w:p w14:paraId="0BF20C74" w14:textId="2D84A1EB" w:rsidR="005B45DB" w:rsidRPr="00155C3A" w:rsidRDefault="005B45DB" w:rsidP="005B45DB">
      <w:pPr>
        <w:pStyle w:val="BodyText"/>
        <w:rPr>
          <w:rFonts w:ascii="Arial" w:hAnsi="Arial" w:cs="Arial"/>
        </w:rPr>
      </w:pPr>
      <w:r w:rsidRPr="00155C3A">
        <w:rPr>
          <w:rFonts w:ascii="Arial" w:hAnsi="Arial" w:cs="Arial"/>
        </w:rPr>
        <w:t xml:space="preserve">Electrical energy is transformed on-site to 33 kV and collected via underground cables to the </w:t>
      </w:r>
      <w:proofErr w:type="spellStart"/>
      <w:r w:rsidRPr="00155C3A">
        <w:rPr>
          <w:rFonts w:ascii="Arial" w:hAnsi="Arial" w:cs="Arial"/>
        </w:rPr>
        <w:t>Deleni</w:t>
      </w:r>
      <w:proofErr w:type="spellEnd"/>
      <w:r w:rsidRPr="00155C3A">
        <w:rPr>
          <w:rFonts w:ascii="Arial" w:hAnsi="Arial" w:cs="Arial"/>
        </w:rPr>
        <w:t xml:space="preserve"> 33/400 kV </w:t>
      </w:r>
      <w:r w:rsidR="00052A42" w:rsidRPr="00155C3A">
        <w:rPr>
          <w:rFonts w:ascii="Arial" w:hAnsi="Arial" w:cs="Arial"/>
        </w:rPr>
        <w:t>transformer station</w:t>
      </w:r>
      <w:r w:rsidRPr="00155C3A">
        <w:rPr>
          <w:rFonts w:ascii="Arial" w:hAnsi="Arial" w:cs="Arial"/>
        </w:rPr>
        <w:t>, where it is stepped up to 400 kV for injection into the SEN. Grid connection includes short overhead lines to existing transmission corridors, optical fiber communication, tele-protection systems, and metering infrastructure.</w:t>
      </w:r>
      <w:r w:rsidR="009F1459" w:rsidRPr="009F1459">
        <w:t xml:space="preserve"> </w:t>
      </w:r>
      <w:r w:rsidR="009F1459" w:rsidRPr="009F1459">
        <w:rPr>
          <w:rFonts w:ascii="Arial" w:hAnsi="Arial" w:cs="Arial"/>
        </w:rPr>
        <w:t>No separate associated facilities have been identified for the Project. The grid connection infrastructure forms part of the Project and has been assessed within the ESIA, including potential environmental and social risks and the required mitigation and monitoring measures.</w:t>
      </w:r>
    </w:p>
    <w:p w14:paraId="27A56026" w14:textId="1CA9FDFE" w:rsidR="00670615" w:rsidRPr="00155C3A" w:rsidRDefault="00670615" w:rsidP="00670615">
      <w:pPr>
        <w:pStyle w:val="BodyText"/>
        <w:keepNext/>
        <w:jc w:val="center"/>
        <w:rPr>
          <w:rFonts w:ascii="Arial" w:hAnsi="Arial" w:cs="Arial"/>
        </w:rPr>
      </w:pPr>
      <w:r w:rsidRPr="00155C3A">
        <w:rPr>
          <w:rFonts w:ascii="Arial" w:hAnsi="Arial" w:cs="Arial"/>
          <w:noProof/>
        </w:rPr>
        <w:drawing>
          <wp:inline distT="0" distB="0" distL="0" distR="0" wp14:anchorId="5CD70E37" wp14:editId="4FE6B995">
            <wp:extent cx="3567545" cy="2282293"/>
            <wp:effectExtent l="0" t="0" r="0" b="3810"/>
            <wp:docPr id="1246606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06021" name=""/>
                    <pic:cNvPicPr/>
                  </pic:nvPicPr>
                  <pic:blipFill>
                    <a:blip r:embed="rId32"/>
                    <a:stretch>
                      <a:fillRect/>
                    </a:stretch>
                  </pic:blipFill>
                  <pic:spPr>
                    <a:xfrm>
                      <a:off x="0" y="0"/>
                      <a:ext cx="3576346" cy="2287923"/>
                    </a:xfrm>
                    <a:prstGeom prst="rect">
                      <a:avLst/>
                    </a:prstGeom>
                  </pic:spPr>
                </pic:pic>
              </a:graphicData>
            </a:graphic>
          </wp:inline>
        </w:drawing>
      </w:r>
      <w:r w:rsidR="00EA7FD6" w:rsidRPr="00155C3A">
        <w:rPr>
          <w:rFonts w:ascii="Arial" w:hAnsi="Arial" w:cs="Arial"/>
          <w:noProof/>
        </w:rPr>
        <w:t xml:space="preserve"> </w:t>
      </w:r>
      <w:r w:rsidR="00EA7FD6" w:rsidRPr="00155C3A">
        <w:rPr>
          <w:rFonts w:ascii="Arial" w:hAnsi="Arial" w:cs="Arial"/>
          <w:noProof/>
        </w:rPr>
        <w:drawing>
          <wp:inline distT="0" distB="0" distL="0" distR="0" wp14:anchorId="320BBB3A" wp14:editId="255293A0">
            <wp:extent cx="2197850" cy="2475323"/>
            <wp:effectExtent l="0" t="0" r="0" b="0"/>
            <wp:docPr id="1733702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702594" name=""/>
                    <pic:cNvPicPr/>
                  </pic:nvPicPr>
                  <pic:blipFill rotWithShape="1">
                    <a:blip r:embed="rId33"/>
                    <a:srcRect t="6811" b="18109"/>
                    <a:stretch>
                      <a:fillRect/>
                    </a:stretch>
                  </pic:blipFill>
                  <pic:spPr bwMode="auto">
                    <a:xfrm>
                      <a:off x="0" y="0"/>
                      <a:ext cx="2214215" cy="2493754"/>
                    </a:xfrm>
                    <a:prstGeom prst="rect">
                      <a:avLst/>
                    </a:prstGeom>
                    <a:ln>
                      <a:noFill/>
                    </a:ln>
                    <a:extLst>
                      <a:ext uri="{53640926-AAD7-44D8-BBD7-CCE9431645EC}">
                        <a14:shadowObscured xmlns:a14="http://schemas.microsoft.com/office/drawing/2010/main"/>
                      </a:ext>
                    </a:extLst>
                  </pic:spPr>
                </pic:pic>
              </a:graphicData>
            </a:graphic>
          </wp:inline>
        </w:drawing>
      </w:r>
    </w:p>
    <w:p w14:paraId="5E2B965B" w14:textId="2520A839" w:rsidR="00E02D13" w:rsidRPr="00155C3A" w:rsidRDefault="002974EB" w:rsidP="00670615">
      <w:pPr>
        <w:pStyle w:val="Caption"/>
        <w:jc w:val="center"/>
        <w:rPr>
          <w:rFonts w:ascii="Arial" w:hAnsi="Arial" w:cs="Arial"/>
        </w:rPr>
      </w:pPr>
      <w:r w:rsidRPr="00155C3A">
        <w:rPr>
          <w:rFonts w:ascii="Arial" w:hAnsi="Arial" w:cs="Arial"/>
        </w:rPr>
        <w:t>Illustration of permanent components</w:t>
      </w:r>
    </w:p>
    <w:p w14:paraId="6B1C5298" w14:textId="77777777" w:rsidR="005E0248" w:rsidRDefault="005E0248" w:rsidP="00FA5900">
      <w:bookmarkStart w:id="18" w:name="_Toc229489981"/>
      <w:bookmarkStart w:id="19" w:name="_Toc229650174"/>
    </w:p>
    <w:p w14:paraId="5FD46BFF" w14:textId="1D51EDCB" w:rsidR="005B45DB" w:rsidRPr="00155C3A" w:rsidRDefault="005B45DB" w:rsidP="004B6B4B">
      <w:pPr>
        <w:pStyle w:val="Heading2"/>
        <w:ind w:left="680" w:hanging="680"/>
        <w:rPr>
          <w:rFonts w:ascii="Arial" w:hAnsi="Arial" w:cs="Arial"/>
        </w:rPr>
      </w:pPr>
      <w:r w:rsidRPr="00155C3A">
        <w:rPr>
          <w:rFonts w:ascii="Arial" w:hAnsi="Arial" w:cs="Arial"/>
        </w:rPr>
        <w:t>Temporary Project Components</w:t>
      </w:r>
      <w:bookmarkEnd w:id="18"/>
      <w:bookmarkEnd w:id="19"/>
    </w:p>
    <w:p w14:paraId="38E08E4C" w14:textId="77777777" w:rsidR="005730F4" w:rsidRDefault="005B45DB" w:rsidP="005B45DB">
      <w:pPr>
        <w:pStyle w:val="BodyText"/>
        <w:rPr>
          <w:rFonts w:ascii="Arial" w:hAnsi="Arial" w:cs="Arial"/>
        </w:rPr>
      </w:pPr>
      <w:r w:rsidRPr="00155C3A">
        <w:rPr>
          <w:rFonts w:ascii="Arial" w:hAnsi="Arial" w:cs="Arial"/>
        </w:rPr>
        <w:t xml:space="preserve">Construction requires temporary facilities such as a </w:t>
      </w:r>
      <w:r w:rsidR="00211C9C" w:rsidRPr="00155C3A">
        <w:rPr>
          <w:rFonts w:ascii="Arial" w:hAnsi="Arial" w:cs="Arial"/>
        </w:rPr>
        <w:t>15</w:t>
      </w:r>
      <w:r w:rsidRPr="00155C3A">
        <w:rPr>
          <w:rFonts w:ascii="Arial" w:hAnsi="Arial" w:cs="Arial"/>
        </w:rPr>
        <w:t xml:space="preserve">,000 m² site for site management, equipment storage, and personnel operations, as well as crane and assembly platforms, laydown areas, water abstraction points, and power supply infrastructure. </w:t>
      </w:r>
    </w:p>
    <w:p w14:paraId="733FF5C4" w14:textId="30FEC537" w:rsidR="005B45DB" w:rsidRPr="00155C3A" w:rsidRDefault="005B45DB" w:rsidP="005B45DB">
      <w:pPr>
        <w:pStyle w:val="BodyText"/>
        <w:rPr>
          <w:rFonts w:ascii="Arial" w:hAnsi="Arial" w:cs="Arial"/>
        </w:rPr>
      </w:pPr>
      <w:r w:rsidRPr="00155C3A">
        <w:rPr>
          <w:rFonts w:ascii="Arial" w:hAnsi="Arial" w:cs="Arial"/>
        </w:rPr>
        <w:t>Temporary containers and sanitary facilities will be provided in compliance with Romanian regulations and international occupational health and safety standards. Workers will be accommodated in private residences nearby, with all necessary welfare and logistical support provided according to IFC and EBRD guidance. All temporary installations will be removed, and the land reinstated after construction.</w:t>
      </w:r>
    </w:p>
    <w:p w14:paraId="377AD820" w14:textId="0E95A7B3" w:rsidR="006A36A2" w:rsidRPr="00155C3A" w:rsidRDefault="00326EF9" w:rsidP="006A36A2">
      <w:pPr>
        <w:pStyle w:val="Heading2"/>
        <w:ind w:left="680" w:hanging="680"/>
        <w:rPr>
          <w:rFonts w:ascii="Arial" w:hAnsi="Arial" w:cs="Arial"/>
        </w:rPr>
      </w:pPr>
      <w:bookmarkStart w:id="20" w:name="_Toc229650175"/>
      <w:r w:rsidRPr="00155C3A">
        <w:rPr>
          <w:rFonts w:ascii="Arial" w:hAnsi="Arial" w:cs="Arial"/>
        </w:rPr>
        <w:lastRenderedPageBreak/>
        <w:t xml:space="preserve">Size and </w:t>
      </w:r>
      <w:r w:rsidR="006A36A2" w:rsidRPr="00155C3A">
        <w:rPr>
          <w:rFonts w:ascii="Arial" w:hAnsi="Arial" w:cs="Arial"/>
        </w:rPr>
        <w:t>Capacity of the Project</w:t>
      </w:r>
      <w:bookmarkEnd w:id="20"/>
    </w:p>
    <w:p w14:paraId="5D760731" w14:textId="77777777" w:rsidR="00326EF9" w:rsidRPr="00155C3A" w:rsidRDefault="006A286E" w:rsidP="006152B7">
      <w:pPr>
        <w:pStyle w:val="BodyText"/>
        <w:rPr>
          <w:rFonts w:ascii="Arial" w:hAnsi="Arial" w:cs="Arial"/>
        </w:rPr>
      </w:pPr>
      <w:r w:rsidRPr="00155C3A">
        <w:rPr>
          <w:rFonts w:ascii="Arial" w:hAnsi="Arial" w:cs="Arial"/>
        </w:rPr>
        <w:t>The Project is designed for an approved grid injection capacity of 300 MW and is expected to generate approximately 750 GWh of electricity per year, depending on the final turbine selection; this will be achieved through the installation of up to 45 wind turbines, each with a capacity of up to 7 MW (for a total installed capacity of up to 315 MW), with four potential turbine models currently under consideration.</w:t>
      </w:r>
    </w:p>
    <w:p w14:paraId="5AA4E5D3" w14:textId="6E0C0503" w:rsidR="006152B7" w:rsidRPr="00155C3A" w:rsidRDefault="00326EF9" w:rsidP="006152B7">
      <w:pPr>
        <w:pStyle w:val="BodyText"/>
        <w:rPr>
          <w:rFonts w:ascii="Arial" w:hAnsi="Arial" w:cs="Arial"/>
        </w:rPr>
      </w:pPr>
      <w:r w:rsidRPr="00155C3A">
        <w:rPr>
          <w:rFonts w:ascii="Arial" w:hAnsi="Arial" w:cs="Arial"/>
        </w:rPr>
        <w:t>The permanently occupied land will be about 36 ha.</w:t>
      </w:r>
      <w:r w:rsidR="006152B7" w:rsidRPr="00155C3A">
        <w:rPr>
          <w:rFonts w:ascii="Arial" w:hAnsi="Arial" w:cs="Arial"/>
        </w:rPr>
        <w:t xml:space="preserve"> </w:t>
      </w:r>
    </w:p>
    <w:p w14:paraId="57F0642F" w14:textId="5732F9C8" w:rsidR="006A36A2" w:rsidRPr="00155C3A" w:rsidRDefault="006A36A2" w:rsidP="00034E55">
      <w:pPr>
        <w:pStyle w:val="Heading2"/>
        <w:ind w:left="680" w:hanging="680"/>
        <w:rPr>
          <w:rFonts w:ascii="Arial" w:hAnsi="Arial" w:cs="Arial"/>
        </w:rPr>
      </w:pPr>
      <w:bookmarkStart w:id="21" w:name="_Toc229650176"/>
      <w:r w:rsidRPr="00155C3A">
        <w:rPr>
          <w:rFonts w:ascii="Arial" w:hAnsi="Arial" w:cs="Arial"/>
        </w:rPr>
        <w:t xml:space="preserve">Project </w:t>
      </w:r>
      <w:r w:rsidR="00034E55" w:rsidRPr="00155C3A">
        <w:rPr>
          <w:rFonts w:ascii="Arial" w:hAnsi="Arial" w:cs="Arial"/>
        </w:rPr>
        <w:t>Proponent and Key Entities</w:t>
      </w:r>
      <w:bookmarkEnd w:id="21"/>
    </w:p>
    <w:p w14:paraId="2EDB7C39" w14:textId="5ACA5F1C" w:rsidR="00B00EC7" w:rsidRPr="00155C3A" w:rsidRDefault="00B00EC7" w:rsidP="00B00EC7">
      <w:pPr>
        <w:pStyle w:val="BodyText"/>
        <w:rPr>
          <w:rFonts w:ascii="Arial" w:hAnsi="Arial" w:cs="Arial"/>
        </w:rPr>
      </w:pPr>
      <w:r w:rsidRPr="00155C3A">
        <w:rPr>
          <w:rFonts w:ascii="Arial" w:hAnsi="Arial" w:cs="Arial"/>
        </w:rPr>
        <w:t xml:space="preserve">The Project is sponsored and led by Rezolv Energy, which acts as the Project Owner and is responsible for the overall development, financing, construction and operation of the wind farm. At the local level, the Project is being developed through </w:t>
      </w:r>
      <w:proofErr w:type="spellStart"/>
      <w:r w:rsidRPr="00155C3A">
        <w:rPr>
          <w:rFonts w:ascii="Arial" w:hAnsi="Arial" w:cs="Arial"/>
        </w:rPr>
        <w:t>Midmar</w:t>
      </w:r>
      <w:proofErr w:type="spellEnd"/>
      <w:r w:rsidRPr="00155C3A">
        <w:rPr>
          <w:rFonts w:ascii="Arial" w:hAnsi="Arial" w:cs="Arial"/>
        </w:rPr>
        <w:t xml:space="preserve"> </w:t>
      </w:r>
      <w:proofErr w:type="spellStart"/>
      <w:r w:rsidRPr="00155C3A">
        <w:rPr>
          <w:rFonts w:ascii="Arial" w:hAnsi="Arial" w:cs="Arial"/>
        </w:rPr>
        <w:t>Callatis</w:t>
      </w:r>
      <w:proofErr w:type="spellEnd"/>
      <w:r w:rsidRPr="00155C3A">
        <w:rPr>
          <w:rFonts w:ascii="Arial" w:hAnsi="Arial" w:cs="Arial"/>
        </w:rPr>
        <w:t xml:space="preserve"> S.A., the Romanian </w:t>
      </w:r>
      <w:r w:rsidR="00AB0F98" w:rsidRPr="00155C3A">
        <w:rPr>
          <w:rFonts w:ascii="Arial" w:hAnsi="Arial" w:cs="Arial"/>
        </w:rPr>
        <w:t>P</w:t>
      </w:r>
      <w:r w:rsidRPr="00155C3A">
        <w:rPr>
          <w:rFonts w:ascii="Arial" w:hAnsi="Arial" w:cs="Arial"/>
        </w:rPr>
        <w:t xml:space="preserve">roject </w:t>
      </w:r>
      <w:r w:rsidR="00AB0F98" w:rsidRPr="00155C3A">
        <w:rPr>
          <w:rFonts w:ascii="Arial" w:hAnsi="Arial" w:cs="Arial"/>
        </w:rPr>
        <w:t>C</w:t>
      </w:r>
      <w:r w:rsidRPr="00155C3A">
        <w:rPr>
          <w:rFonts w:ascii="Arial" w:hAnsi="Arial" w:cs="Arial"/>
        </w:rPr>
        <w:t xml:space="preserve">ompany for the </w:t>
      </w:r>
      <w:proofErr w:type="spellStart"/>
      <w:r w:rsidRPr="00155C3A">
        <w:rPr>
          <w:rFonts w:ascii="Arial" w:hAnsi="Arial" w:cs="Arial"/>
        </w:rPr>
        <w:t>Dunarea</w:t>
      </w:r>
      <w:proofErr w:type="spellEnd"/>
      <w:r w:rsidRPr="00155C3A">
        <w:rPr>
          <w:rFonts w:ascii="Arial" w:hAnsi="Arial" w:cs="Arial"/>
        </w:rPr>
        <w:t xml:space="preserve"> East Wind Farm.</w:t>
      </w:r>
    </w:p>
    <w:p w14:paraId="5DEA2478" w14:textId="4D52F92E" w:rsidR="009D5AE3" w:rsidRPr="00155C3A" w:rsidRDefault="009D5AE3" w:rsidP="009D5AE3">
      <w:pPr>
        <w:pStyle w:val="BodyText"/>
        <w:rPr>
          <w:rFonts w:ascii="Arial" w:hAnsi="Arial" w:cs="Arial"/>
        </w:rPr>
      </w:pPr>
      <w:r w:rsidRPr="00155C3A">
        <w:rPr>
          <w:rFonts w:ascii="Arial" w:hAnsi="Arial" w:cs="Arial"/>
        </w:rPr>
        <w:t>Construction will be implemented through contracted specialists under the Project’s Environmental and Social Management System (ESMS).</w:t>
      </w:r>
    </w:p>
    <w:p w14:paraId="6D0A526E" w14:textId="3B3514E5" w:rsidR="007B7FCB" w:rsidRPr="00155C3A" w:rsidRDefault="007B7FCB" w:rsidP="004B6B4B">
      <w:pPr>
        <w:pStyle w:val="Heading1"/>
        <w:ind w:left="454" w:hanging="454"/>
        <w:rPr>
          <w:rFonts w:ascii="Arial" w:hAnsi="Arial" w:cs="Arial"/>
        </w:rPr>
      </w:pPr>
      <w:bookmarkStart w:id="22" w:name="_Toc229489982"/>
      <w:bookmarkStart w:id="23" w:name="_Toc229650177"/>
      <w:r w:rsidRPr="00155C3A">
        <w:rPr>
          <w:rFonts w:ascii="Arial" w:hAnsi="Arial" w:cs="Arial"/>
        </w:rPr>
        <w:t>Project Phases</w:t>
      </w:r>
      <w:bookmarkEnd w:id="22"/>
      <w:r w:rsidR="00034E55" w:rsidRPr="00155C3A">
        <w:rPr>
          <w:rFonts w:ascii="Arial" w:hAnsi="Arial" w:cs="Arial"/>
        </w:rPr>
        <w:t xml:space="preserve"> and </w:t>
      </w:r>
      <w:r w:rsidR="002D7467">
        <w:rPr>
          <w:rFonts w:ascii="Arial" w:hAnsi="Arial" w:cs="Arial"/>
        </w:rPr>
        <w:t>T</w:t>
      </w:r>
      <w:r w:rsidR="00034E55" w:rsidRPr="00155C3A">
        <w:rPr>
          <w:rFonts w:ascii="Arial" w:hAnsi="Arial" w:cs="Arial"/>
        </w:rPr>
        <w:t>imeline</w:t>
      </w:r>
      <w:bookmarkEnd w:id="23"/>
      <w:r w:rsidR="00034E55" w:rsidRPr="00155C3A">
        <w:rPr>
          <w:rFonts w:ascii="Arial" w:hAnsi="Arial" w:cs="Arial"/>
        </w:rPr>
        <w:t xml:space="preserve"> </w:t>
      </w:r>
    </w:p>
    <w:p w14:paraId="400948F0" w14:textId="6A62173D" w:rsidR="007B7FCB" w:rsidRPr="00155C3A" w:rsidRDefault="007B7FCB" w:rsidP="007B7FCB">
      <w:pPr>
        <w:pStyle w:val="BodyText"/>
        <w:rPr>
          <w:rFonts w:ascii="Arial" w:hAnsi="Arial" w:cs="Arial"/>
        </w:rPr>
      </w:pPr>
      <w:r w:rsidRPr="00155C3A">
        <w:rPr>
          <w:rFonts w:ascii="Arial" w:hAnsi="Arial" w:cs="Arial"/>
        </w:rPr>
        <w:t xml:space="preserve">The </w:t>
      </w:r>
      <w:proofErr w:type="spellStart"/>
      <w:r w:rsidRPr="00155C3A">
        <w:rPr>
          <w:rFonts w:ascii="Arial" w:hAnsi="Arial" w:cs="Arial"/>
        </w:rPr>
        <w:t>Dunarea</w:t>
      </w:r>
      <w:proofErr w:type="spellEnd"/>
      <w:r w:rsidRPr="00155C3A">
        <w:rPr>
          <w:rFonts w:ascii="Arial" w:hAnsi="Arial" w:cs="Arial"/>
        </w:rPr>
        <w:t xml:space="preserve"> East Wind Farm Project is structured into four main phases: planning, construction, operations, and decommissioning. </w:t>
      </w:r>
    </w:p>
    <w:tbl>
      <w:tblPr>
        <w:tblStyle w:val="ListTable3-Accent4"/>
        <w:tblW w:w="0" w:type="auto"/>
        <w:tblLook w:val="04A0" w:firstRow="1" w:lastRow="0" w:firstColumn="1" w:lastColumn="0" w:noHBand="0" w:noVBand="1"/>
      </w:tblPr>
      <w:tblGrid>
        <w:gridCol w:w="2111"/>
        <w:gridCol w:w="5038"/>
        <w:gridCol w:w="1373"/>
        <w:gridCol w:w="1383"/>
      </w:tblGrid>
      <w:tr w:rsidR="003F0618" w:rsidRPr="00155C3A" w14:paraId="7225CB4F" w14:textId="77777777" w:rsidTr="00296759">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7568429B" w14:textId="77777777" w:rsidR="003F0618" w:rsidRPr="00155C3A" w:rsidRDefault="003F0618" w:rsidP="001C7924">
            <w:pPr>
              <w:spacing w:before="40" w:after="140"/>
              <w:jc w:val="center"/>
              <w:rPr>
                <w:rFonts w:ascii="Arial" w:hAnsi="Arial" w:cs="Arial"/>
              </w:rPr>
            </w:pPr>
            <w:bookmarkStart w:id="24" w:name="_Hlk147069516"/>
            <w:r w:rsidRPr="00155C3A">
              <w:rPr>
                <w:rFonts w:ascii="Arial" w:hAnsi="Arial" w:cs="Arial"/>
              </w:rPr>
              <w:t>Project Phase</w:t>
            </w:r>
          </w:p>
        </w:tc>
        <w:tc>
          <w:tcPr>
            <w:tcW w:w="0" w:type="auto"/>
            <w:vAlign w:val="center"/>
            <w:hideMark/>
          </w:tcPr>
          <w:p w14:paraId="3BD02B5F" w14:textId="77777777" w:rsidR="003F0618" w:rsidRPr="00155C3A" w:rsidRDefault="003F0618" w:rsidP="001C7924">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Key Activities</w:t>
            </w:r>
          </w:p>
        </w:tc>
        <w:tc>
          <w:tcPr>
            <w:tcW w:w="0" w:type="auto"/>
            <w:vAlign w:val="center"/>
            <w:hideMark/>
          </w:tcPr>
          <w:p w14:paraId="3C1CA71D" w14:textId="77777777" w:rsidR="003F0618" w:rsidRPr="00155C3A" w:rsidRDefault="003F0618" w:rsidP="001C7924">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Estimated Duration</w:t>
            </w:r>
          </w:p>
        </w:tc>
        <w:tc>
          <w:tcPr>
            <w:tcW w:w="0" w:type="auto"/>
            <w:vAlign w:val="center"/>
            <w:hideMark/>
          </w:tcPr>
          <w:p w14:paraId="3243E7F1" w14:textId="77777777" w:rsidR="003F0618" w:rsidRPr="00155C3A" w:rsidRDefault="003F0618" w:rsidP="001C7924">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Milestone / Target Date</w:t>
            </w:r>
          </w:p>
        </w:tc>
      </w:tr>
      <w:tr w:rsidR="003F0618" w:rsidRPr="00155C3A" w14:paraId="0C381CE2" w14:textId="77777777" w:rsidTr="001C7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F58FD5" w14:textId="77777777" w:rsidR="003F0618" w:rsidRPr="00155C3A" w:rsidRDefault="003F0618" w:rsidP="001C7924">
            <w:pPr>
              <w:spacing w:before="40" w:after="140"/>
              <w:rPr>
                <w:rFonts w:ascii="Arial" w:hAnsi="Arial" w:cs="Arial"/>
                <w:highlight w:val="yellow"/>
              </w:rPr>
            </w:pPr>
            <w:r w:rsidRPr="00155C3A">
              <w:rPr>
                <w:rFonts w:ascii="Arial" w:hAnsi="Arial" w:cs="Arial"/>
              </w:rPr>
              <w:t xml:space="preserve">Planning </w:t>
            </w:r>
          </w:p>
        </w:tc>
        <w:tc>
          <w:tcPr>
            <w:tcW w:w="0" w:type="auto"/>
            <w:vAlign w:val="center"/>
          </w:tcPr>
          <w:p w14:paraId="1D9BBB38" w14:textId="77777777" w:rsidR="003F0618" w:rsidRPr="00155C3A" w:rsidRDefault="003F0618" w:rsidP="00FA5900">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rPr>
            </w:pPr>
            <w:r w:rsidRPr="00155C3A">
              <w:rPr>
                <w:rFonts w:ascii="Arial" w:hAnsi="Arial" w:cs="Arial"/>
                <w:bCs/>
              </w:rPr>
              <w:t>This phase includes the preparation of technical documentation, permitting, land use planning, and environmental assessment activities. It lays the foundation for all future project activities. It also includes the financing period.</w:t>
            </w:r>
          </w:p>
        </w:tc>
        <w:tc>
          <w:tcPr>
            <w:tcW w:w="0" w:type="auto"/>
            <w:vAlign w:val="center"/>
          </w:tcPr>
          <w:p w14:paraId="7A6A08D7" w14:textId="77777777" w:rsidR="003F0618" w:rsidRPr="00155C3A" w:rsidRDefault="003F0618" w:rsidP="001C7924">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rPr>
            </w:pPr>
            <w:r w:rsidRPr="00155C3A">
              <w:rPr>
                <w:rFonts w:ascii="Arial" w:hAnsi="Arial" w:cs="Arial"/>
                <w:bCs/>
              </w:rPr>
              <w:t>4 months</w:t>
            </w:r>
          </w:p>
        </w:tc>
        <w:tc>
          <w:tcPr>
            <w:tcW w:w="0" w:type="auto"/>
            <w:vAlign w:val="center"/>
          </w:tcPr>
          <w:p w14:paraId="50E21478" w14:textId="77777777" w:rsidR="003F0618" w:rsidRPr="00155C3A" w:rsidRDefault="003F0618" w:rsidP="001C7924">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rPr>
            </w:pPr>
            <w:r w:rsidRPr="00155C3A">
              <w:rPr>
                <w:rFonts w:ascii="Arial" w:hAnsi="Arial" w:cs="Arial"/>
                <w:bCs/>
              </w:rPr>
              <w:t>March 2026</w:t>
            </w:r>
          </w:p>
        </w:tc>
      </w:tr>
      <w:tr w:rsidR="003F0618" w:rsidRPr="00155C3A" w14:paraId="5ACB0A76" w14:textId="77777777" w:rsidTr="001C79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B8C30C" w14:textId="77777777" w:rsidR="003F0618" w:rsidRPr="00155C3A" w:rsidRDefault="003F0618" w:rsidP="001C7924">
            <w:pPr>
              <w:spacing w:before="40" w:after="140"/>
              <w:rPr>
                <w:rFonts w:ascii="Arial" w:hAnsi="Arial" w:cs="Arial"/>
              </w:rPr>
            </w:pPr>
            <w:r w:rsidRPr="00155C3A">
              <w:rPr>
                <w:rFonts w:ascii="Arial" w:hAnsi="Arial" w:cs="Arial"/>
              </w:rPr>
              <w:t>Construction</w:t>
            </w:r>
          </w:p>
        </w:tc>
        <w:tc>
          <w:tcPr>
            <w:tcW w:w="0" w:type="auto"/>
            <w:vAlign w:val="center"/>
            <w:hideMark/>
          </w:tcPr>
          <w:p w14:paraId="4E1F7EFF" w14:textId="77777777" w:rsidR="003F0618" w:rsidRPr="00155C3A" w:rsidRDefault="003F0618" w:rsidP="00FA5900">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 xml:space="preserve">This phase will start at the Notice to Proceed (NTP) date and will comprise: site preparation works, </w:t>
            </w:r>
            <w:proofErr w:type="spellStart"/>
            <w:r w:rsidRPr="00155C3A">
              <w:rPr>
                <w:rFonts w:ascii="Arial" w:hAnsi="Arial" w:cs="Arial"/>
                <w:bCs/>
              </w:rPr>
              <w:t>BoP</w:t>
            </w:r>
            <w:proofErr w:type="spellEnd"/>
            <w:r w:rsidRPr="00155C3A">
              <w:rPr>
                <w:rFonts w:ascii="Arial" w:hAnsi="Arial" w:cs="Arial"/>
                <w:bCs/>
              </w:rPr>
              <w:t xml:space="preserve"> Engineering, roads and Crane Pads, WTG foundations and soil improvement, Collector System, Substation, Execution of OHL, TSA Equipment Manufacturing, anchor cages delivery to site, WTG Equipment delivery to site, turbine erection and mechanical completion in two stages and grid compliance.</w:t>
            </w:r>
          </w:p>
        </w:tc>
        <w:tc>
          <w:tcPr>
            <w:tcW w:w="0" w:type="auto"/>
            <w:vAlign w:val="center"/>
            <w:hideMark/>
          </w:tcPr>
          <w:p w14:paraId="2957DC19" w14:textId="77777777" w:rsidR="003F0618" w:rsidRPr="00155C3A" w:rsidRDefault="003F0618" w:rsidP="001C7924">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About 24 months</w:t>
            </w:r>
          </w:p>
        </w:tc>
        <w:tc>
          <w:tcPr>
            <w:tcW w:w="0" w:type="auto"/>
            <w:vAlign w:val="center"/>
            <w:hideMark/>
          </w:tcPr>
          <w:p w14:paraId="2AA36E4B" w14:textId="77777777" w:rsidR="003F0618" w:rsidRPr="00155C3A" w:rsidRDefault="003F0618" w:rsidP="001C7924">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July 2028</w:t>
            </w:r>
          </w:p>
        </w:tc>
      </w:tr>
      <w:tr w:rsidR="003F0618" w:rsidRPr="00155C3A" w14:paraId="482065BE" w14:textId="77777777" w:rsidTr="001C7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5D3B31" w14:textId="77777777" w:rsidR="003F0618" w:rsidRPr="00155C3A" w:rsidRDefault="003F0618" w:rsidP="001C7924">
            <w:pPr>
              <w:spacing w:before="40" w:after="140"/>
              <w:rPr>
                <w:rFonts w:ascii="Arial" w:hAnsi="Arial" w:cs="Arial"/>
              </w:rPr>
            </w:pPr>
            <w:r w:rsidRPr="00155C3A">
              <w:rPr>
                <w:rFonts w:ascii="Arial" w:hAnsi="Arial" w:cs="Arial"/>
              </w:rPr>
              <w:t>Operation</w:t>
            </w:r>
          </w:p>
        </w:tc>
        <w:tc>
          <w:tcPr>
            <w:tcW w:w="0" w:type="auto"/>
            <w:vAlign w:val="center"/>
            <w:hideMark/>
          </w:tcPr>
          <w:p w14:paraId="25B496FA" w14:textId="77777777" w:rsidR="003F0618" w:rsidRPr="00155C3A" w:rsidRDefault="003F0618" w:rsidP="00FA5900">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155C3A">
              <w:rPr>
                <w:rFonts w:ascii="Arial" w:hAnsi="Arial" w:cs="Arial"/>
                <w:bCs/>
              </w:rPr>
              <w:t xml:space="preserve">Commissioning, energy production, maintenance. COD is expected to start in </w:t>
            </w:r>
            <w:proofErr w:type="gramStart"/>
            <w:r w:rsidRPr="00155C3A">
              <w:rPr>
                <w:rFonts w:ascii="Arial" w:hAnsi="Arial" w:cs="Arial"/>
                <w:bCs/>
              </w:rPr>
              <w:t>a first</w:t>
            </w:r>
            <w:proofErr w:type="gramEnd"/>
            <w:r w:rsidRPr="00155C3A">
              <w:rPr>
                <w:rFonts w:ascii="Arial" w:hAnsi="Arial" w:cs="Arial"/>
                <w:bCs/>
              </w:rPr>
              <w:t xml:space="preserve"> stage in May 2028. </w:t>
            </w:r>
          </w:p>
        </w:tc>
        <w:tc>
          <w:tcPr>
            <w:tcW w:w="0" w:type="auto"/>
            <w:gridSpan w:val="2"/>
            <w:vAlign w:val="center"/>
          </w:tcPr>
          <w:p w14:paraId="1C10B5EF" w14:textId="77777777" w:rsidR="003F0618" w:rsidRPr="00155C3A" w:rsidRDefault="003F0618" w:rsidP="001C7924">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155C3A">
              <w:rPr>
                <w:rFonts w:ascii="Arial" w:hAnsi="Arial" w:cs="Arial"/>
                <w:bCs/>
              </w:rPr>
              <w:t>30 years (up to 35 years)</w:t>
            </w:r>
          </w:p>
        </w:tc>
      </w:tr>
      <w:tr w:rsidR="003F0618" w:rsidRPr="00155C3A" w14:paraId="3CBB2456" w14:textId="77777777" w:rsidTr="001C79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DEC14A6" w14:textId="77777777" w:rsidR="003F0618" w:rsidRPr="00155C3A" w:rsidRDefault="003F0618" w:rsidP="001C7924">
            <w:pPr>
              <w:spacing w:before="40" w:after="140"/>
              <w:rPr>
                <w:rFonts w:ascii="Arial" w:hAnsi="Arial" w:cs="Arial"/>
              </w:rPr>
            </w:pPr>
            <w:r w:rsidRPr="00155C3A">
              <w:rPr>
                <w:rFonts w:ascii="Arial" w:hAnsi="Arial" w:cs="Arial"/>
              </w:rPr>
              <w:t>Decommissioning</w:t>
            </w:r>
          </w:p>
        </w:tc>
        <w:tc>
          <w:tcPr>
            <w:tcW w:w="0" w:type="auto"/>
            <w:vAlign w:val="center"/>
            <w:hideMark/>
          </w:tcPr>
          <w:p w14:paraId="04E0E9FE" w14:textId="77777777" w:rsidR="003F0618" w:rsidRPr="00155C3A" w:rsidRDefault="003F0618" w:rsidP="00FA5900">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Turbine dismantling, removal of infrastructure, land restoration</w:t>
            </w:r>
          </w:p>
        </w:tc>
        <w:tc>
          <w:tcPr>
            <w:tcW w:w="0" w:type="auto"/>
            <w:gridSpan w:val="2"/>
            <w:vAlign w:val="center"/>
          </w:tcPr>
          <w:p w14:paraId="437D65E7" w14:textId="77777777" w:rsidR="003F0618" w:rsidRPr="00155C3A" w:rsidRDefault="003F0618" w:rsidP="001C7924">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 xml:space="preserve">About 24 months </w:t>
            </w:r>
          </w:p>
        </w:tc>
      </w:tr>
      <w:bookmarkEnd w:id="24"/>
    </w:tbl>
    <w:p w14:paraId="0DF11967" w14:textId="77777777" w:rsidR="003F0618" w:rsidRPr="00155C3A" w:rsidRDefault="003F0618" w:rsidP="007B7FCB">
      <w:pPr>
        <w:pStyle w:val="BodyText"/>
        <w:rPr>
          <w:rFonts w:ascii="Arial" w:hAnsi="Arial" w:cs="Arial"/>
        </w:rPr>
      </w:pPr>
    </w:p>
    <w:p w14:paraId="3F3FE625" w14:textId="5C086327" w:rsidR="007B7FCB" w:rsidRPr="00155C3A" w:rsidRDefault="007B7FCB" w:rsidP="004B6B4B">
      <w:pPr>
        <w:pStyle w:val="Heading2"/>
        <w:ind w:left="680" w:hanging="680"/>
        <w:rPr>
          <w:rFonts w:ascii="Arial" w:hAnsi="Arial" w:cs="Arial"/>
        </w:rPr>
      </w:pPr>
      <w:bookmarkStart w:id="25" w:name="_Toc229489983"/>
      <w:bookmarkStart w:id="26" w:name="_Toc229650178"/>
      <w:r w:rsidRPr="00155C3A">
        <w:rPr>
          <w:rFonts w:ascii="Arial" w:hAnsi="Arial" w:cs="Arial"/>
        </w:rPr>
        <w:t>Construction Phase</w:t>
      </w:r>
      <w:bookmarkEnd w:id="25"/>
      <w:bookmarkEnd w:id="26"/>
    </w:p>
    <w:p w14:paraId="4F1A63CC" w14:textId="77777777" w:rsidR="0099648C" w:rsidRPr="00155C3A" w:rsidRDefault="0099648C" w:rsidP="0099648C">
      <w:pPr>
        <w:pStyle w:val="BodyText"/>
        <w:rPr>
          <w:rFonts w:ascii="Arial" w:hAnsi="Arial" w:cs="Arial"/>
        </w:rPr>
      </w:pPr>
      <w:r w:rsidRPr="00155C3A">
        <w:rPr>
          <w:rFonts w:ascii="Arial" w:hAnsi="Arial" w:cs="Arial"/>
        </w:rPr>
        <w:t xml:space="preserve">The construction phase includes a range of activities that may temporarily generate environmental and social impacts. These activities can </w:t>
      </w:r>
      <w:proofErr w:type="gramStart"/>
      <w:r w:rsidRPr="00155C3A">
        <w:rPr>
          <w:rFonts w:ascii="Arial" w:hAnsi="Arial" w:cs="Arial"/>
        </w:rPr>
        <w:t>be grouped</w:t>
      </w:r>
      <w:proofErr w:type="gramEnd"/>
      <w:r w:rsidRPr="00155C3A">
        <w:rPr>
          <w:rFonts w:ascii="Arial" w:hAnsi="Arial" w:cs="Arial"/>
        </w:rPr>
        <w:t xml:space="preserve"> as follows:</w:t>
      </w:r>
    </w:p>
    <w:p w14:paraId="20CE8827" w14:textId="77777777" w:rsidR="0099648C" w:rsidRPr="00155C3A" w:rsidRDefault="0099648C" w:rsidP="000A0BF0">
      <w:pPr>
        <w:pStyle w:val="BodyText"/>
        <w:numPr>
          <w:ilvl w:val="0"/>
          <w:numId w:val="25"/>
        </w:numPr>
        <w:rPr>
          <w:rFonts w:ascii="Arial" w:hAnsi="Arial" w:cs="Arial"/>
          <w:b/>
          <w:bCs/>
        </w:rPr>
      </w:pPr>
      <w:r w:rsidRPr="00155C3A">
        <w:rPr>
          <w:rFonts w:ascii="Arial" w:hAnsi="Arial" w:cs="Arial"/>
          <w:b/>
          <w:bCs/>
        </w:rPr>
        <w:t xml:space="preserve">Site Preparation and Earthworks: </w:t>
      </w:r>
      <w:r w:rsidRPr="00155C3A">
        <w:rPr>
          <w:rFonts w:ascii="Arial" w:hAnsi="Arial" w:cs="Arial"/>
        </w:rPr>
        <w:t>Initial works include site clearance, ground levelling and soil investigations. These activities may result in temporary impacts such as dust generation, soil disturbance and limited vegetation removal.</w:t>
      </w:r>
    </w:p>
    <w:p w14:paraId="62ADFBEE" w14:textId="234BDE4B" w:rsidR="0099648C" w:rsidRPr="00155C3A" w:rsidRDefault="0099648C" w:rsidP="000A0BF0">
      <w:pPr>
        <w:pStyle w:val="BodyText"/>
        <w:numPr>
          <w:ilvl w:val="0"/>
          <w:numId w:val="25"/>
        </w:numPr>
        <w:rPr>
          <w:rFonts w:ascii="Arial" w:hAnsi="Arial" w:cs="Arial"/>
        </w:rPr>
      </w:pPr>
      <w:r w:rsidRPr="00155C3A">
        <w:rPr>
          <w:rFonts w:ascii="Arial" w:hAnsi="Arial" w:cs="Arial"/>
          <w:b/>
          <w:bCs/>
        </w:rPr>
        <w:t xml:space="preserve">Road Construction and Upgrades: </w:t>
      </w:r>
      <w:r w:rsidRPr="00155C3A">
        <w:rPr>
          <w:rFonts w:ascii="Arial" w:hAnsi="Arial" w:cs="Arial"/>
        </w:rPr>
        <w:t>New access roads will be constructed and existing roads upgraded to allow the transport of heavy equipment. These works may generate traffic, noise and local disturbance, as well as temporary impacts on land use.</w:t>
      </w:r>
    </w:p>
    <w:p w14:paraId="64753D66" w14:textId="3ADC390D" w:rsidR="0099648C" w:rsidRPr="00155C3A" w:rsidRDefault="0099648C" w:rsidP="000A0BF0">
      <w:pPr>
        <w:pStyle w:val="BodyText"/>
        <w:numPr>
          <w:ilvl w:val="0"/>
          <w:numId w:val="25"/>
        </w:numPr>
        <w:rPr>
          <w:rFonts w:ascii="Arial" w:hAnsi="Arial" w:cs="Arial"/>
        </w:rPr>
      </w:pPr>
      <w:r w:rsidRPr="00155C3A">
        <w:rPr>
          <w:rFonts w:ascii="Arial" w:hAnsi="Arial" w:cs="Arial"/>
          <w:b/>
          <w:bCs/>
        </w:rPr>
        <w:t xml:space="preserve">Foundations and Civil Works: </w:t>
      </w:r>
      <w:r w:rsidRPr="00155C3A">
        <w:rPr>
          <w:rFonts w:ascii="Arial" w:hAnsi="Arial" w:cs="Arial"/>
        </w:rPr>
        <w:t>Excavation and construction of turbine foundations and working platforms involve earthworks and use of construction materials. Potential impacts include soil movement, noise, and temporary occupation of land.</w:t>
      </w:r>
    </w:p>
    <w:p w14:paraId="12D41E81" w14:textId="296F8655" w:rsidR="0099648C" w:rsidRPr="00155C3A" w:rsidRDefault="0099648C" w:rsidP="000A0BF0">
      <w:pPr>
        <w:pStyle w:val="BodyText"/>
        <w:numPr>
          <w:ilvl w:val="0"/>
          <w:numId w:val="25"/>
        </w:numPr>
        <w:rPr>
          <w:rFonts w:ascii="Arial" w:hAnsi="Arial" w:cs="Arial"/>
        </w:rPr>
      </w:pPr>
      <w:r w:rsidRPr="00155C3A">
        <w:rPr>
          <w:rFonts w:ascii="Arial" w:hAnsi="Arial" w:cs="Arial"/>
          <w:b/>
          <w:bCs/>
        </w:rPr>
        <w:t xml:space="preserve">Transport and Installation of Turbines: </w:t>
      </w:r>
      <w:r w:rsidRPr="00155C3A">
        <w:rPr>
          <w:rFonts w:ascii="Arial" w:hAnsi="Arial" w:cs="Arial"/>
        </w:rPr>
        <w:t>The delivery and installation of turbine components require heavy transport and crane operations. This phase may generate increased traffic, noise and temporary visual disturbance.</w:t>
      </w:r>
    </w:p>
    <w:p w14:paraId="7CBDCFD8" w14:textId="44FCC958" w:rsidR="0099648C" w:rsidRPr="00155C3A" w:rsidRDefault="0099648C" w:rsidP="000A0BF0">
      <w:pPr>
        <w:pStyle w:val="BodyText"/>
        <w:numPr>
          <w:ilvl w:val="0"/>
          <w:numId w:val="25"/>
        </w:numPr>
        <w:rPr>
          <w:rFonts w:ascii="Arial" w:hAnsi="Arial" w:cs="Arial"/>
        </w:rPr>
      </w:pPr>
      <w:r w:rsidRPr="00155C3A">
        <w:rPr>
          <w:rFonts w:ascii="Arial" w:hAnsi="Arial" w:cs="Arial"/>
          <w:b/>
          <w:bCs/>
        </w:rPr>
        <w:t xml:space="preserve">Electrical Works and Grid Connection: </w:t>
      </w:r>
      <w:r w:rsidRPr="00155C3A">
        <w:rPr>
          <w:rFonts w:ascii="Arial" w:hAnsi="Arial" w:cs="Arial"/>
        </w:rPr>
        <w:t xml:space="preserve">Trenching and installation of underground cables, as well as construction of the transformer station and overhead lines, may lead to temporary land disturbance, noise and </w:t>
      </w:r>
      <w:proofErr w:type="spellStart"/>
      <w:r w:rsidRPr="00155C3A">
        <w:rPr>
          <w:rFonts w:ascii="Arial" w:hAnsi="Arial" w:cs="Arial"/>
        </w:rPr>
        <w:t>localised</w:t>
      </w:r>
      <w:proofErr w:type="spellEnd"/>
      <w:r w:rsidRPr="00155C3A">
        <w:rPr>
          <w:rFonts w:ascii="Arial" w:hAnsi="Arial" w:cs="Arial"/>
        </w:rPr>
        <w:t xml:space="preserve"> impacts along cable routes.</w:t>
      </w:r>
    </w:p>
    <w:p w14:paraId="384E1DCE" w14:textId="63771FD7" w:rsidR="0099648C" w:rsidRPr="00155C3A" w:rsidRDefault="0099648C" w:rsidP="000A0BF0">
      <w:pPr>
        <w:pStyle w:val="BodyText"/>
        <w:numPr>
          <w:ilvl w:val="0"/>
          <w:numId w:val="25"/>
        </w:numPr>
        <w:rPr>
          <w:rFonts w:ascii="Arial" w:hAnsi="Arial" w:cs="Arial"/>
        </w:rPr>
      </w:pPr>
      <w:r w:rsidRPr="00155C3A">
        <w:rPr>
          <w:rFonts w:ascii="Arial" w:hAnsi="Arial" w:cs="Arial"/>
          <w:b/>
          <w:bCs/>
        </w:rPr>
        <w:t xml:space="preserve">Site Restoration: </w:t>
      </w:r>
      <w:r w:rsidRPr="00155C3A">
        <w:rPr>
          <w:rFonts w:ascii="Arial" w:hAnsi="Arial" w:cs="Arial"/>
        </w:rPr>
        <w:t>At the end of construction, temporary areas are cleared and restored. Remaining impacts are limited to the permanent footprint of turbines, roads and electrical infrastructure.</w:t>
      </w:r>
    </w:p>
    <w:p w14:paraId="4766CD4A" w14:textId="1DC50ED7" w:rsidR="007B7FCB" w:rsidRPr="00155C3A" w:rsidRDefault="0099648C" w:rsidP="007B7FCB">
      <w:pPr>
        <w:pStyle w:val="BodyText"/>
        <w:rPr>
          <w:rFonts w:ascii="Arial" w:hAnsi="Arial" w:cs="Arial"/>
        </w:rPr>
      </w:pPr>
      <w:r w:rsidRPr="00155C3A">
        <w:rPr>
          <w:rFonts w:ascii="Arial" w:hAnsi="Arial" w:cs="Arial"/>
        </w:rPr>
        <w:t xml:space="preserve">During the construction phase, the workforce is expected to peak at approximately </w:t>
      </w:r>
      <w:r w:rsidRPr="00155C3A">
        <w:rPr>
          <w:rFonts w:ascii="Arial" w:hAnsi="Arial" w:cs="Arial"/>
          <w:b/>
          <w:bCs/>
        </w:rPr>
        <w:t>100 to 150 workers</w:t>
      </w:r>
      <w:r w:rsidRPr="00155C3A">
        <w:rPr>
          <w:rFonts w:ascii="Arial" w:hAnsi="Arial" w:cs="Arial"/>
        </w:rPr>
        <w:t xml:space="preserve">, including both skilled and unskilled </w:t>
      </w:r>
      <w:proofErr w:type="spellStart"/>
      <w:r w:rsidRPr="00155C3A">
        <w:rPr>
          <w:rFonts w:ascii="Arial" w:hAnsi="Arial" w:cs="Arial"/>
        </w:rPr>
        <w:t>labour</w:t>
      </w:r>
      <w:proofErr w:type="spellEnd"/>
      <w:r w:rsidRPr="00155C3A">
        <w:rPr>
          <w:rFonts w:ascii="Arial" w:hAnsi="Arial" w:cs="Arial"/>
        </w:rPr>
        <w:t>, technical specialists and security personnel. Workforce numbers will fluctuate depending on the stage of construction.</w:t>
      </w:r>
    </w:p>
    <w:p w14:paraId="6853A067" w14:textId="172F5CC1" w:rsidR="00325B1C" w:rsidRPr="00155C3A" w:rsidRDefault="00325B1C" w:rsidP="004B6B4B">
      <w:pPr>
        <w:pStyle w:val="Heading2"/>
        <w:ind w:left="680" w:hanging="680"/>
        <w:rPr>
          <w:rFonts w:ascii="Arial" w:hAnsi="Arial" w:cs="Arial"/>
        </w:rPr>
      </w:pPr>
      <w:bookmarkStart w:id="27" w:name="_Toc229489984"/>
      <w:bookmarkStart w:id="28" w:name="_Toc229650179"/>
      <w:r w:rsidRPr="00155C3A">
        <w:rPr>
          <w:rFonts w:ascii="Arial" w:hAnsi="Arial" w:cs="Arial"/>
        </w:rPr>
        <w:t>Operational Phase</w:t>
      </w:r>
      <w:bookmarkEnd w:id="27"/>
      <w:bookmarkEnd w:id="28"/>
    </w:p>
    <w:p w14:paraId="72C8679A" w14:textId="77777777" w:rsidR="00064C64" w:rsidRPr="00155C3A" w:rsidRDefault="00064C64" w:rsidP="00064C64">
      <w:pPr>
        <w:pStyle w:val="BodyText"/>
        <w:rPr>
          <w:rFonts w:ascii="Arial" w:hAnsi="Arial" w:cs="Arial"/>
        </w:rPr>
      </w:pPr>
      <w:r w:rsidRPr="00155C3A">
        <w:rPr>
          <w:rFonts w:ascii="Arial" w:hAnsi="Arial" w:cs="Arial"/>
        </w:rPr>
        <w:t>During operation, the wind farm generates electricity for approximately 30 years.</w:t>
      </w:r>
    </w:p>
    <w:p w14:paraId="1925B8E1" w14:textId="77777777" w:rsidR="00116B42" w:rsidRPr="00155C3A" w:rsidRDefault="00064C64" w:rsidP="00116B42">
      <w:pPr>
        <w:pStyle w:val="BodyText"/>
        <w:rPr>
          <w:rFonts w:ascii="Arial" w:hAnsi="Arial" w:cs="Arial"/>
        </w:rPr>
      </w:pPr>
      <w:r w:rsidRPr="00155C3A">
        <w:rPr>
          <w:rFonts w:ascii="Arial" w:hAnsi="Arial" w:cs="Arial"/>
        </w:rPr>
        <w:t>The turbines operate automatically and are monitored remotely. No permanent workforce is required on site, although technicians visit regularly for inspections and maintenance.</w:t>
      </w:r>
      <w:r w:rsidR="00116B42" w:rsidRPr="00155C3A">
        <w:rPr>
          <w:rFonts w:ascii="Arial" w:hAnsi="Arial" w:cs="Arial"/>
        </w:rPr>
        <w:t xml:space="preserve"> Around </w:t>
      </w:r>
      <w:r w:rsidR="00116B42" w:rsidRPr="00155C3A">
        <w:rPr>
          <w:rFonts w:ascii="Arial" w:hAnsi="Arial" w:cs="Arial"/>
          <w:b/>
          <w:bCs/>
        </w:rPr>
        <w:t>7 to 11 personnel</w:t>
      </w:r>
      <w:r w:rsidR="00116B42" w:rsidRPr="00155C3A">
        <w:rPr>
          <w:rFonts w:ascii="Arial" w:hAnsi="Arial" w:cs="Arial"/>
        </w:rPr>
        <w:t xml:space="preserve"> will be required for operation of the transformer station, together with approximately </w:t>
      </w:r>
      <w:r w:rsidR="00116B42" w:rsidRPr="00155C3A">
        <w:rPr>
          <w:rFonts w:ascii="Arial" w:hAnsi="Arial" w:cs="Arial"/>
          <w:b/>
          <w:bCs/>
        </w:rPr>
        <w:t>20 maintenance staff</w:t>
      </w:r>
      <w:r w:rsidR="00116B42" w:rsidRPr="00155C3A">
        <w:rPr>
          <w:rFonts w:ascii="Arial" w:hAnsi="Arial" w:cs="Arial"/>
        </w:rPr>
        <w:t xml:space="preserve"> responsible for inspections and repairs. A small number of security staff will also be present.</w:t>
      </w:r>
    </w:p>
    <w:p w14:paraId="3568A0CF" w14:textId="7E6F5BEC" w:rsidR="00325B1C" w:rsidRPr="00155C3A" w:rsidRDefault="00064C64" w:rsidP="00325B1C">
      <w:pPr>
        <w:pStyle w:val="BodyText"/>
        <w:rPr>
          <w:rFonts w:ascii="Arial" w:hAnsi="Arial" w:cs="Arial"/>
        </w:rPr>
      </w:pPr>
      <w:r w:rsidRPr="00155C3A">
        <w:rPr>
          <w:rFonts w:ascii="Arial" w:hAnsi="Arial" w:cs="Arial"/>
        </w:rPr>
        <w:t>Electricity generated by the turbines is transported through underground cables to the transformer station and then delivered to the national grid.</w:t>
      </w:r>
      <w:r w:rsidR="00116B42" w:rsidRPr="00155C3A">
        <w:rPr>
          <w:rFonts w:ascii="Arial" w:hAnsi="Arial" w:cs="Arial"/>
        </w:rPr>
        <w:t xml:space="preserve"> </w:t>
      </w:r>
      <w:r w:rsidRPr="00155C3A">
        <w:rPr>
          <w:rFonts w:ascii="Arial" w:hAnsi="Arial" w:cs="Arial"/>
        </w:rPr>
        <w:t>Regular maintenance is carried out to ensure reliable performance. This includes routine inspections, minor repairs and occasional replacement of components</w:t>
      </w:r>
      <w:r w:rsidR="00325B1C" w:rsidRPr="00155C3A">
        <w:rPr>
          <w:rFonts w:ascii="Arial" w:hAnsi="Arial" w:cs="Arial"/>
        </w:rPr>
        <w:t>.</w:t>
      </w:r>
    </w:p>
    <w:p w14:paraId="09D3FA84" w14:textId="6A415B51" w:rsidR="00325B1C" w:rsidRPr="00155C3A" w:rsidRDefault="00325B1C" w:rsidP="004B6B4B">
      <w:pPr>
        <w:pStyle w:val="Heading2"/>
        <w:ind w:left="680" w:hanging="680"/>
        <w:rPr>
          <w:rFonts w:ascii="Arial" w:hAnsi="Arial" w:cs="Arial"/>
        </w:rPr>
      </w:pPr>
      <w:bookmarkStart w:id="29" w:name="_Toc229489985"/>
      <w:bookmarkStart w:id="30" w:name="_Toc229650180"/>
      <w:r w:rsidRPr="00155C3A">
        <w:rPr>
          <w:rFonts w:ascii="Arial" w:hAnsi="Arial" w:cs="Arial"/>
        </w:rPr>
        <w:t>Decommissioning Phase</w:t>
      </w:r>
      <w:bookmarkEnd w:id="29"/>
      <w:bookmarkEnd w:id="30"/>
    </w:p>
    <w:p w14:paraId="356E69B8" w14:textId="71E1B17B" w:rsidR="00E313CA" w:rsidRPr="00155C3A" w:rsidRDefault="00325B1C" w:rsidP="00E313CA">
      <w:pPr>
        <w:pStyle w:val="BodyText"/>
        <w:rPr>
          <w:rFonts w:ascii="Arial" w:hAnsi="Arial" w:cs="Arial"/>
        </w:rPr>
      </w:pPr>
      <w:r w:rsidRPr="00155C3A">
        <w:rPr>
          <w:rFonts w:ascii="Arial" w:hAnsi="Arial" w:cs="Arial"/>
        </w:rPr>
        <w:t>The Decommissioning Phase is planned after at least 30 years of operation, involving either repowering or full dismantling of the wind farm.</w:t>
      </w:r>
      <w:r w:rsidR="00E313CA" w:rsidRPr="00155C3A">
        <w:rPr>
          <w:rFonts w:ascii="Arial" w:hAnsi="Arial" w:cs="Arial"/>
        </w:rPr>
        <w:t xml:space="preserve"> Decommissioning involves:</w:t>
      </w:r>
    </w:p>
    <w:p w14:paraId="67DA9162" w14:textId="77777777" w:rsidR="00E313CA" w:rsidRPr="00155C3A" w:rsidRDefault="00E313CA" w:rsidP="000A0BF0">
      <w:pPr>
        <w:pStyle w:val="BodyText"/>
        <w:numPr>
          <w:ilvl w:val="0"/>
          <w:numId w:val="26"/>
        </w:numPr>
        <w:rPr>
          <w:rFonts w:ascii="Arial" w:hAnsi="Arial" w:cs="Arial"/>
        </w:rPr>
      </w:pPr>
      <w:r w:rsidRPr="00155C3A">
        <w:rPr>
          <w:rFonts w:ascii="Arial" w:hAnsi="Arial" w:cs="Arial"/>
        </w:rPr>
        <w:lastRenderedPageBreak/>
        <w:t>dismantling of turbines and equipment;</w:t>
      </w:r>
    </w:p>
    <w:p w14:paraId="470838C3" w14:textId="77777777" w:rsidR="00E313CA" w:rsidRPr="00155C3A" w:rsidRDefault="00E313CA" w:rsidP="000A0BF0">
      <w:pPr>
        <w:pStyle w:val="BodyText"/>
        <w:numPr>
          <w:ilvl w:val="0"/>
          <w:numId w:val="26"/>
        </w:numPr>
        <w:rPr>
          <w:rFonts w:ascii="Arial" w:hAnsi="Arial" w:cs="Arial"/>
        </w:rPr>
      </w:pPr>
      <w:r w:rsidRPr="00155C3A">
        <w:rPr>
          <w:rFonts w:ascii="Arial" w:hAnsi="Arial" w:cs="Arial"/>
        </w:rPr>
        <w:t>removal of electrical infrastructure;</w:t>
      </w:r>
    </w:p>
    <w:p w14:paraId="21767AB7" w14:textId="77777777" w:rsidR="00E313CA" w:rsidRPr="00155C3A" w:rsidRDefault="00E313CA" w:rsidP="000A0BF0">
      <w:pPr>
        <w:pStyle w:val="BodyText"/>
        <w:numPr>
          <w:ilvl w:val="0"/>
          <w:numId w:val="26"/>
        </w:numPr>
        <w:rPr>
          <w:rFonts w:ascii="Arial" w:hAnsi="Arial" w:cs="Arial"/>
        </w:rPr>
      </w:pPr>
      <w:r w:rsidRPr="00155C3A">
        <w:rPr>
          <w:rFonts w:ascii="Arial" w:hAnsi="Arial" w:cs="Arial"/>
        </w:rPr>
        <w:t>recycling or disposal of materials;</w:t>
      </w:r>
    </w:p>
    <w:p w14:paraId="594E8B35" w14:textId="77777777" w:rsidR="00E313CA" w:rsidRPr="00155C3A" w:rsidRDefault="00E313CA" w:rsidP="000A0BF0">
      <w:pPr>
        <w:pStyle w:val="BodyText"/>
        <w:numPr>
          <w:ilvl w:val="0"/>
          <w:numId w:val="26"/>
        </w:numPr>
        <w:rPr>
          <w:rFonts w:ascii="Arial" w:hAnsi="Arial" w:cs="Arial"/>
        </w:rPr>
      </w:pPr>
      <w:r w:rsidRPr="00155C3A">
        <w:rPr>
          <w:rFonts w:ascii="Arial" w:hAnsi="Arial" w:cs="Arial"/>
        </w:rPr>
        <w:t>restoration of the land.</w:t>
      </w:r>
    </w:p>
    <w:p w14:paraId="20468E92" w14:textId="0DD3C813" w:rsidR="00325B1C" w:rsidRPr="00155C3A" w:rsidRDefault="00E313CA" w:rsidP="00325B1C">
      <w:pPr>
        <w:pStyle w:val="BodyText"/>
        <w:rPr>
          <w:rFonts w:ascii="Arial" w:hAnsi="Arial" w:cs="Arial"/>
        </w:rPr>
      </w:pPr>
      <w:r w:rsidRPr="00155C3A">
        <w:rPr>
          <w:rFonts w:ascii="Arial" w:hAnsi="Arial" w:cs="Arial"/>
        </w:rPr>
        <w:t>Most components, such as steel and electrical parts, can be recycled. After decommissioning, the land will be restored as close as possible to its original condition.</w:t>
      </w:r>
    </w:p>
    <w:p w14:paraId="79EC4FB9" w14:textId="27D79E78" w:rsidR="00325B1C" w:rsidRPr="00155C3A" w:rsidRDefault="00325B1C" w:rsidP="004B6B4B">
      <w:pPr>
        <w:pStyle w:val="Heading2"/>
        <w:ind w:left="680" w:hanging="680"/>
        <w:rPr>
          <w:rFonts w:ascii="Arial" w:hAnsi="Arial" w:cs="Arial"/>
        </w:rPr>
      </w:pPr>
      <w:bookmarkStart w:id="31" w:name="_Toc229489986"/>
      <w:bookmarkStart w:id="32" w:name="_Toc229650181"/>
      <w:r w:rsidRPr="00155C3A">
        <w:rPr>
          <w:rFonts w:ascii="Arial" w:hAnsi="Arial" w:cs="Arial"/>
        </w:rPr>
        <w:t>Project Schedule</w:t>
      </w:r>
      <w:bookmarkEnd w:id="31"/>
      <w:bookmarkEnd w:id="32"/>
    </w:p>
    <w:tbl>
      <w:tblPr>
        <w:tblStyle w:val="ListTable3-Accent4"/>
        <w:tblW w:w="0" w:type="auto"/>
        <w:tblLook w:val="04A0" w:firstRow="1" w:lastRow="0" w:firstColumn="1" w:lastColumn="0" w:noHBand="0" w:noVBand="1"/>
      </w:tblPr>
      <w:tblGrid>
        <w:gridCol w:w="2111"/>
        <w:gridCol w:w="5038"/>
        <w:gridCol w:w="1373"/>
        <w:gridCol w:w="1383"/>
      </w:tblGrid>
      <w:tr w:rsidR="00F360EE" w:rsidRPr="00155C3A" w14:paraId="0BED95ED" w14:textId="77777777" w:rsidTr="001C234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79C80C53" w14:textId="77777777" w:rsidR="00F360EE" w:rsidRPr="00155C3A" w:rsidRDefault="00F360EE" w:rsidP="001C234D">
            <w:pPr>
              <w:spacing w:before="40" w:after="140"/>
              <w:jc w:val="center"/>
              <w:rPr>
                <w:rFonts w:ascii="Arial" w:hAnsi="Arial" w:cs="Arial"/>
              </w:rPr>
            </w:pPr>
            <w:r w:rsidRPr="00155C3A">
              <w:rPr>
                <w:rFonts w:ascii="Arial" w:hAnsi="Arial" w:cs="Arial"/>
              </w:rPr>
              <w:t>Project Phase</w:t>
            </w:r>
          </w:p>
        </w:tc>
        <w:tc>
          <w:tcPr>
            <w:tcW w:w="0" w:type="auto"/>
            <w:vAlign w:val="center"/>
            <w:hideMark/>
          </w:tcPr>
          <w:p w14:paraId="0A8DB2BC" w14:textId="77777777" w:rsidR="00F360EE" w:rsidRPr="00155C3A" w:rsidRDefault="00F360EE" w:rsidP="001C234D">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Key Activities</w:t>
            </w:r>
          </w:p>
        </w:tc>
        <w:tc>
          <w:tcPr>
            <w:tcW w:w="0" w:type="auto"/>
            <w:vAlign w:val="center"/>
            <w:hideMark/>
          </w:tcPr>
          <w:p w14:paraId="790E7D08" w14:textId="77777777" w:rsidR="00F360EE" w:rsidRPr="00155C3A" w:rsidRDefault="00F360EE" w:rsidP="001C234D">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Estimated Duration</w:t>
            </w:r>
          </w:p>
        </w:tc>
        <w:tc>
          <w:tcPr>
            <w:tcW w:w="0" w:type="auto"/>
            <w:vAlign w:val="center"/>
            <w:hideMark/>
          </w:tcPr>
          <w:p w14:paraId="3BDF9896" w14:textId="77777777" w:rsidR="00F360EE" w:rsidRPr="00155C3A" w:rsidRDefault="00F360EE" w:rsidP="001C234D">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Milestone / Target Date</w:t>
            </w:r>
          </w:p>
        </w:tc>
      </w:tr>
      <w:tr w:rsidR="00F360EE" w:rsidRPr="00155C3A" w14:paraId="053CBFCD" w14:textId="77777777" w:rsidTr="001C23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9D5A00" w14:textId="77777777" w:rsidR="00F360EE" w:rsidRPr="00155C3A" w:rsidRDefault="00F360EE">
            <w:pPr>
              <w:spacing w:before="40" w:after="140"/>
              <w:rPr>
                <w:rFonts w:ascii="Arial" w:hAnsi="Arial" w:cs="Arial"/>
                <w:highlight w:val="yellow"/>
              </w:rPr>
            </w:pPr>
            <w:r w:rsidRPr="00155C3A">
              <w:rPr>
                <w:rFonts w:ascii="Arial" w:hAnsi="Arial" w:cs="Arial"/>
              </w:rPr>
              <w:t xml:space="preserve">Planning </w:t>
            </w:r>
          </w:p>
        </w:tc>
        <w:tc>
          <w:tcPr>
            <w:tcW w:w="0" w:type="auto"/>
          </w:tcPr>
          <w:p w14:paraId="13926E9F" w14:textId="77777777" w:rsidR="00F360EE" w:rsidRPr="00155C3A"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rPr>
            </w:pPr>
            <w:r w:rsidRPr="00155C3A">
              <w:rPr>
                <w:rFonts w:ascii="Arial" w:hAnsi="Arial" w:cs="Arial"/>
                <w:bCs/>
              </w:rPr>
              <w:t>This phase includes the preparation of technical documentation, permitting, land use planning, and environmental assessment activities. It lays the foundation for all future project activities. It also includes the financing period.</w:t>
            </w:r>
          </w:p>
        </w:tc>
        <w:tc>
          <w:tcPr>
            <w:tcW w:w="0" w:type="auto"/>
          </w:tcPr>
          <w:p w14:paraId="73AA7B36" w14:textId="77777777" w:rsidR="00F360EE" w:rsidRPr="00155C3A"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rPr>
            </w:pPr>
            <w:r w:rsidRPr="00155C3A">
              <w:rPr>
                <w:rFonts w:ascii="Arial" w:hAnsi="Arial" w:cs="Arial"/>
                <w:bCs/>
              </w:rPr>
              <w:t>4 months</w:t>
            </w:r>
          </w:p>
        </w:tc>
        <w:tc>
          <w:tcPr>
            <w:tcW w:w="0" w:type="auto"/>
          </w:tcPr>
          <w:p w14:paraId="6E45C252" w14:textId="77777777" w:rsidR="00F360EE" w:rsidRPr="00155C3A"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rPr>
            </w:pPr>
            <w:r w:rsidRPr="00155C3A">
              <w:rPr>
                <w:rFonts w:ascii="Arial" w:hAnsi="Arial" w:cs="Arial"/>
                <w:bCs/>
              </w:rPr>
              <w:t>March 2026</w:t>
            </w:r>
          </w:p>
        </w:tc>
      </w:tr>
      <w:tr w:rsidR="00F360EE" w:rsidRPr="00155C3A" w14:paraId="3B7223C3" w14:textId="77777777" w:rsidTr="001C234D">
        <w:tc>
          <w:tcPr>
            <w:cnfStyle w:val="001000000000" w:firstRow="0" w:lastRow="0" w:firstColumn="1" w:lastColumn="0" w:oddVBand="0" w:evenVBand="0" w:oddHBand="0" w:evenHBand="0" w:firstRowFirstColumn="0" w:firstRowLastColumn="0" w:lastRowFirstColumn="0" w:lastRowLastColumn="0"/>
            <w:tcW w:w="0" w:type="auto"/>
            <w:hideMark/>
          </w:tcPr>
          <w:p w14:paraId="0696C044" w14:textId="77777777" w:rsidR="00F360EE" w:rsidRPr="00155C3A" w:rsidRDefault="00F360EE">
            <w:pPr>
              <w:spacing w:before="40" w:after="140"/>
              <w:rPr>
                <w:rFonts w:ascii="Arial" w:hAnsi="Arial" w:cs="Arial"/>
              </w:rPr>
            </w:pPr>
            <w:r w:rsidRPr="00155C3A">
              <w:rPr>
                <w:rFonts w:ascii="Arial" w:hAnsi="Arial" w:cs="Arial"/>
              </w:rPr>
              <w:t>Construction</w:t>
            </w:r>
          </w:p>
        </w:tc>
        <w:tc>
          <w:tcPr>
            <w:tcW w:w="0" w:type="auto"/>
            <w:hideMark/>
          </w:tcPr>
          <w:p w14:paraId="605AAB4C" w14:textId="77777777" w:rsidR="00F360EE" w:rsidRPr="00155C3A"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 xml:space="preserve">This phase will start at the Notice to Proceed (NTP) date and will comprise: site preparation works, </w:t>
            </w:r>
            <w:proofErr w:type="spellStart"/>
            <w:r w:rsidRPr="00155C3A">
              <w:rPr>
                <w:rFonts w:ascii="Arial" w:hAnsi="Arial" w:cs="Arial"/>
                <w:bCs/>
              </w:rPr>
              <w:t>BoP</w:t>
            </w:r>
            <w:proofErr w:type="spellEnd"/>
            <w:r w:rsidRPr="00155C3A">
              <w:rPr>
                <w:rFonts w:ascii="Arial" w:hAnsi="Arial" w:cs="Arial"/>
                <w:bCs/>
              </w:rPr>
              <w:t xml:space="preserve"> Engineering, roads and Crane Pads, WTG foundations and soil improvement, Collector System, Substation, Execution of OHL, TSA Equipment Manufacturing, anchor cages delivery to site, WTG Equipment delivery to site, turbine erection and mechanical completion in two stages and grid compliance.</w:t>
            </w:r>
          </w:p>
        </w:tc>
        <w:tc>
          <w:tcPr>
            <w:tcW w:w="0" w:type="auto"/>
            <w:hideMark/>
          </w:tcPr>
          <w:p w14:paraId="116A5E1A" w14:textId="77777777" w:rsidR="00F360EE" w:rsidRPr="00155C3A"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About 24 months</w:t>
            </w:r>
          </w:p>
        </w:tc>
        <w:tc>
          <w:tcPr>
            <w:tcW w:w="0" w:type="auto"/>
            <w:hideMark/>
          </w:tcPr>
          <w:p w14:paraId="38A8B69B" w14:textId="77777777" w:rsidR="00F360EE" w:rsidRPr="00155C3A"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July 2028</w:t>
            </w:r>
          </w:p>
        </w:tc>
      </w:tr>
      <w:tr w:rsidR="00F360EE" w:rsidRPr="00155C3A" w14:paraId="09DB02E1" w14:textId="77777777" w:rsidTr="001C23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D2C64F" w14:textId="77777777" w:rsidR="00F360EE" w:rsidRPr="00155C3A" w:rsidRDefault="00F360EE">
            <w:pPr>
              <w:spacing w:before="40" w:after="140"/>
              <w:rPr>
                <w:rFonts w:ascii="Arial" w:hAnsi="Arial" w:cs="Arial"/>
              </w:rPr>
            </w:pPr>
            <w:r w:rsidRPr="00155C3A">
              <w:rPr>
                <w:rFonts w:ascii="Arial" w:hAnsi="Arial" w:cs="Arial"/>
              </w:rPr>
              <w:t>Operation</w:t>
            </w:r>
          </w:p>
        </w:tc>
        <w:tc>
          <w:tcPr>
            <w:tcW w:w="0" w:type="auto"/>
            <w:hideMark/>
          </w:tcPr>
          <w:p w14:paraId="450E8FB4" w14:textId="77777777" w:rsidR="00F360EE" w:rsidRPr="00155C3A"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155C3A">
              <w:rPr>
                <w:rFonts w:ascii="Arial" w:hAnsi="Arial" w:cs="Arial"/>
                <w:bCs/>
              </w:rPr>
              <w:t xml:space="preserve">Commissioning, energy production, maintenance. COD is expected to start in </w:t>
            </w:r>
            <w:proofErr w:type="gramStart"/>
            <w:r w:rsidRPr="00155C3A">
              <w:rPr>
                <w:rFonts w:ascii="Arial" w:hAnsi="Arial" w:cs="Arial"/>
                <w:bCs/>
              </w:rPr>
              <w:t>a first</w:t>
            </w:r>
            <w:proofErr w:type="gramEnd"/>
            <w:r w:rsidRPr="00155C3A">
              <w:rPr>
                <w:rFonts w:ascii="Arial" w:hAnsi="Arial" w:cs="Arial"/>
                <w:bCs/>
              </w:rPr>
              <w:t xml:space="preserve"> stage in May 2028. </w:t>
            </w:r>
          </w:p>
        </w:tc>
        <w:tc>
          <w:tcPr>
            <w:tcW w:w="0" w:type="auto"/>
            <w:gridSpan w:val="2"/>
          </w:tcPr>
          <w:p w14:paraId="5AABBF69" w14:textId="77777777" w:rsidR="00F360EE" w:rsidRPr="00155C3A"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155C3A">
              <w:rPr>
                <w:rFonts w:ascii="Arial" w:hAnsi="Arial" w:cs="Arial"/>
                <w:bCs/>
              </w:rPr>
              <w:t>30 years (up to 35 years)</w:t>
            </w:r>
          </w:p>
        </w:tc>
      </w:tr>
      <w:tr w:rsidR="00F360EE" w:rsidRPr="00155C3A" w14:paraId="6EB60523" w14:textId="77777777" w:rsidTr="001C234D">
        <w:tc>
          <w:tcPr>
            <w:cnfStyle w:val="001000000000" w:firstRow="0" w:lastRow="0" w:firstColumn="1" w:lastColumn="0" w:oddVBand="0" w:evenVBand="0" w:oddHBand="0" w:evenHBand="0" w:firstRowFirstColumn="0" w:firstRowLastColumn="0" w:lastRowFirstColumn="0" w:lastRowLastColumn="0"/>
            <w:tcW w:w="0" w:type="auto"/>
            <w:hideMark/>
          </w:tcPr>
          <w:p w14:paraId="320A1C26" w14:textId="77777777" w:rsidR="00F360EE" w:rsidRPr="00155C3A" w:rsidRDefault="00F360EE">
            <w:pPr>
              <w:spacing w:before="40" w:after="140"/>
              <w:rPr>
                <w:rFonts w:ascii="Arial" w:hAnsi="Arial" w:cs="Arial"/>
              </w:rPr>
            </w:pPr>
            <w:r w:rsidRPr="00155C3A">
              <w:rPr>
                <w:rFonts w:ascii="Arial" w:hAnsi="Arial" w:cs="Arial"/>
              </w:rPr>
              <w:t>Decommissioning</w:t>
            </w:r>
          </w:p>
        </w:tc>
        <w:tc>
          <w:tcPr>
            <w:tcW w:w="0" w:type="auto"/>
            <w:hideMark/>
          </w:tcPr>
          <w:p w14:paraId="48E6B04D" w14:textId="77777777" w:rsidR="00F360EE" w:rsidRPr="00155C3A"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Turbine dismantling, removal of infrastructure, land restoration</w:t>
            </w:r>
          </w:p>
        </w:tc>
        <w:tc>
          <w:tcPr>
            <w:tcW w:w="0" w:type="auto"/>
            <w:gridSpan w:val="2"/>
          </w:tcPr>
          <w:p w14:paraId="55065349" w14:textId="77777777" w:rsidR="00F360EE" w:rsidRPr="00155C3A"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55C3A">
              <w:rPr>
                <w:rFonts w:ascii="Arial" w:hAnsi="Arial" w:cs="Arial"/>
                <w:bCs/>
              </w:rPr>
              <w:t xml:space="preserve">About 24 months </w:t>
            </w:r>
          </w:p>
        </w:tc>
      </w:tr>
    </w:tbl>
    <w:p w14:paraId="3CF435F8" w14:textId="77AFA2EB" w:rsidR="005A6772" w:rsidRPr="00155C3A" w:rsidRDefault="005A6772" w:rsidP="004B6B4B">
      <w:pPr>
        <w:pStyle w:val="Heading1"/>
        <w:ind w:left="454" w:hanging="454"/>
        <w:rPr>
          <w:rFonts w:ascii="Arial" w:hAnsi="Arial" w:cs="Arial"/>
        </w:rPr>
      </w:pPr>
      <w:bookmarkStart w:id="33" w:name="_Toc229489994"/>
      <w:bookmarkStart w:id="34" w:name="_Toc229650182"/>
      <w:bookmarkStart w:id="35" w:name="_Toc214618093"/>
      <w:r w:rsidRPr="00155C3A">
        <w:rPr>
          <w:rFonts w:ascii="Arial" w:hAnsi="Arial" w:cs="Arial"/>
        </w:rPr>
        <w:t xml:space="preserve">Environmental </w:t>
      </w:r>
      <w:r w:rsidR="002D7467">
        <w:rPr>
          <w:rFonts w:ascii="Arial" w:hAnsi="Arial" w:cs="Arial"/>
        </w:rPr>
        <w:t>and</w:t>
      </w:r>
      <w:r w:rsidR="002A18FC" w:rsidRPr="00155C3A">
        <w:rPr>
          <w:rFonts w:ascii="Arial" w:hAnsi="Arial" w:cs="Arial"/>
        </w:rPr>
        <w:t xml:space="preserve"> S</w:t>
      </w:r>
      <w:r w:rsidR="002D7467">
        <w:rPr>
          <w:rFonts w:ascii="Arial" w:hAnsi="Arial" w:cs="Arial"/>
        </w:rPr>
        <w:t>ocial</w:t>
      </w:r>
      <w:r w:rsidR="002A18FC" w:rsidRPr="00155C3A">
        <w:rPr>
          <w:rFonts w:ascii="Arial" w:hAnsi="Arial" w:cs="Arial"/>
        </w:rPr>
        <w:t xml:space="preserve"> </w:t>
      </w:r>
      <w:r w:rsidR="002D7467">
        <w:rPr>
          <w:rFonts w:ascii="Arial" w:hAnsi="Arial" w:cs="Arial"/>
        </w:rPr>
        <w:t>B</w:t>
      </w:r>
      <w:r w:rsidR="005E636E" w:rsidRPr="00155C3A">
        <w:rPr>
          <w:rFonts w:ascii="Arial" w:hAnsi="Arial" w:cs="Arial"/>
        </w:rPr>
        <w:t>aseline</w:t>
      </w:r>
      <w:bookmarkEnd w:id="33"/>
      <w:bookmarkEnd w:id="34"/>
    </w:p>
    <w:p w14:paraId="47E743D8" w14:textId="334F6DB4" w:rsidR="00A45EE9" w:rsidRPr="00155C3A" w:rsidRDefault="002A18FC" w:rsidP="002A18FC">
      <w:pPr>
        <w:pStyle w:val="Heading2"/>
        <w:ind w:left="680" w:hanging="680"/>
        <w:rPr>
          <w:rFonts w:ascii="Arial" w:hAnsi="Arial" w:cs="Arial"/>
        </w:rPr>
      </w:pPr>
      <w:bookmarkStart w:id="36" w:name="_Toc229650183"/>
      <w:r w:rsidRPr="00155C3A">
        <w:rPr>
          <w:rFonts w:ascii="Arial" w:hAnsi="Arial" w:cs="Arial"/>
        </w:rPr>
        <w:t>Baseline Methodology</w:t>
      </w:r>
      <w:bookmarkEnd w:id="36"/>
    </w:p>
    <w:p w14:paraId="721E1BDD" w14:textId="77777777" w:rsidR="007A21C0" w:rsidRPr="00155C3A" w:rsidRDefault="007A21C0" w:rsidP="007A21C0">
      <w:pPr>
        <w:pStyle w:val="BodyText"/>
        <w:rPr>
          <w:rFonts w:ascii="Arial" w:hAnsi="Arial" w:cs="Arial"/>
        </w:rPr>
      </w:pPr>
      <w:r w:rsidRPr="00155C3A">
        <w:rPr>
          <w:rFonts w:ascii="Arial" w:hAnsi="Arial" w:cs="Arial"/>
        </w:rPr>
        <w:t xml:space="preserve">The baseline environment has been determined through desktop studies and detailed site visits and site-specific data collection that was carried out as part of the ERM Draft ESIA and the AON National EIA. </w:t>
      </w:r>
    </w:p>
    <w:p w14:paraId="389918C7" w14:textId="081FD54A" w:rsidR="007A21C0" w:rsidRPr="00155C3A" w:rsidRDefault="007A21C0" w:rsidP="007A21C0">
      <w:pPr>
        <w:pStyle w:val="BodyText"/>
        <w:rPr>
          <w:rFonts w:ascii="Arial" w:hAnsi="Arial" w:cs="Arial"/>
        </w:rPr>
      </w:pPr>
      <w:r w:rsidRPr="00155C3A">
        <w:rPr>
          <w:rFonts w:ascii="Arial" w:hAnsi="Arial" w:cs="Arial"/>
        </w:rPr>
        <w:t>It is to be noted that, in the context of preparing the current baseline description for the Project, DNV did not perform any field work. The baseline information retrieved from the existing studies have been considered sufficient and recent enough to provide a clear representation of the current environmental and social status of the area, being most of them collected in from 2021 to 2023.</w:t>
      </w:r>
    </w:p>
    <w:p w14:paraId="00206062" w14:textId="2C5073A0" w:rsidR="002A18FC" w:rsidRPr="00155C3A" w:rsidRDefault="002A18FC" w:rsidP="00F62FAF">
      <w:pPr>
        <w:pStyle w:val="Heading2"/>
        <w:ind w:left="680" w:hanging="680"/>
        <w:rPr>
          <w:rFonts w:ascii="Arial" w:hAnsi="Arial" w:cs="Arial"/>
        </w:rPr>
      </w:pPr>
      <w:bookmarkStart w:id="37" w:name="_Toc229650184"/>
      <w:r w:rsidRPr="00155C3A">
        <w:rPr>
          <w:rFonts w:ascii="Arial" w:hAnsi="Arial" w:cs="Arial"/>
        </w:rPr>
        <w:lastRenderedPageBreak/>
        <w:t>Environmental Context</w:t>
      </w:r>
      <w:bookmarkEnd w:id="37"/>
      <w:r w:rsidRPr="00155C3A">
        <w:rPr>
          <w:rFonts w:ascii="Arial" w:hAnsi="Arial" w:cs="Arial"/>
        </w:rPr>
        <w:t xml:space="preserve"> </w:t>
      </w:r>
    </w:p>
    <w:tbl>
      <w:tblPr>
        <w:tblStyle w:val="ListTable3-Accent4"/>
        <w:tblW w:w="0" w:type="auto"/>
        <w:tblLook w:val="04A0" w:firstRow="1" w:lastRow="0" w:firstColumn="1" w:lastColumn="0" w:noHBand="0" w:noVBand="1"/>
      </w:tblPr>
      <w:tblGrid>
        <w:gridCol w:w="2263"/>
        <w:gridCol w:w="7642"/>
      </w:tblGrid>
      <w:tr w:rsidR="002A18FC" w:rsidRPr="00155C3A" w14:paraId="7468E00F" w14:textId="77777777" w:rsidTr="007A21C0">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263" w:type="dxa"/>
          </w:tcPr>
          <w:p w14:paraId="18AB68A1" w14:textId="7960F38A" w:rsidR="002A18FC" w:rsidRPr="00155C3A" w:rsidRDefault="00A34C56" w:rsidP="00F62FAF">
            <w:pPr>
              <w:spacing w:before="40" w:after="140"/>
              <w:jc w:val="both"/>
              <w:rPr>
                <w:rFonts w:ascii="Arial" w:hAnsi="Arial" w:cs="Arial"/>
              </w:rPr>
            </w:pPr>
            <w:r w:rsidRPr="00155C3A">
              <w:rPr>
                <w:rFonts w:ascii="Arial" w:hAnsi="Arial" w:cs="Arial"/>
              </w:rPr>
              <w:t>Component</w:t>
            </w:r>
          </w:p>
        </w:tc>
        <w:tc>
          <w:tcPr>
            <w:tcW w:w="7642" w:type="dxa"/>
          </w:tcPr>
          <w:p w14:paraId="02D9B106" w14:textId="44684D93" w:rsidR="002A18FC" w:rsidRPr="00155C3A" w:rsidRDefault="00A34C56" w:rsidP="00F62FAF">
            <w:pPr>
              <w:spacing w:before="40" w:after="14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Description</w:t>
            </w:r>
          </w:p>
        </w:tc>
      </w:tr>
      <w:tr w:rsidR="00CA2748" w:rsidRPr="00155C3A" w14:paraId="3B4876A6"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4B5A52C2" w14:textId="3E31003B" w:rsidR="00CA2748" w:rsidRPr="00155C3A" w:rsidRDefault="00F17964" w:rsidP="00F62FAF">
            <w:pPr>
              <w:spacing w:before="40" w:after="140"/>
              <w:rPr>
                <w:rFonts w:ascii="Arial" w:hAnsi="Arial" w:cs="Arial"/>
              </w:rPr>
            </w:pPr>
            <w:r w:rsidRPr="00155C3A">
              <w:rPr>
                <w:rFonts w:ascii="Arial" w:hAnsi="Arial" w:cs="Arial"/>
              </w:rPr>
              <w:t>Location and Land Use</w:t>
            </w:r>
          </w:p>
        </w:tc>
        <w:tc>
          <w:tcPr>
            <w:tcW w:w="7642" w:type="dxa"/>
          </w:tcPr>
          <w:p w14:paraId="6325C6CC" w14:textId="7CD6092B" w:rsidR="00CA2748" w:rsidRPr="00155C3A" w:rsidRDefault="00F17964"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The Project </w:t>
            </w:r>
            <w:proofErr w:type="gramStart"/>
            <w:r w:rsidRPr="00155C3A">
              <w:rPr>
                <w:rFonts w:ascii="Arial" w:hAnsi="Arial" w:cs="Arial"/>
              </w:rPr>
              <w:t>is located in</w:t>
            </w:r>
            <w:proofErr w:type="gramEnd"/>
            <w:r w:rsidRPr="00155C3A">
              <w:rPr>
                <w:rFonts w:ascii="Arial" w:hAnsi="Arial" w:cs="Arial"/>
              </w:rPr>
              <w:t xml:space="preserve"> southeastern Romania, in Constanța County, within a predominantly rural area characterised by agricultural land. The landscape is already largely modified by human activities, with limited presence of urban or industrial development.</w:t>
            </w:r>
          </w:p>
        </w:tc>
      </w:tr>
      <w:tr w:rsidR="00CA2748" w:rsidRPr="00155C3A" w14:paraId="7B51D301"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65FC7F6A" w14:textId="4813D442" w:rsidR="00CA2748" w:rsidRPr="00155C3A" w:rsidRDefault="00F17964" w:rsidP="00F62FAF">
            <w:pPr>
              <w:spacing w:before="40" w:after="140"/>
              <w:rPr>
                <w:rFonts w:ascii="Arial" w:hAnsi="Arial" w:cs="Arial"/>
              </w:rPr>
            </w:pPr>
            <w:r w:rsidRPr="00155C3A">
              <w:rPr>
                <w:rFonts w:ascii="Arial" w:hAnsi="Arial" w:cs="Arial"/>
              </w:rPr>
              <w:t>Topography</w:t>
            </w:r>
          </w:p>
        </w:tc>
        <w:tc>
          <w:tcPr>
            <w:tcW w:w="7642" w:type="dxa"/>
          </w:tcPr>
          <w:p w14:paraId="22B0FFCB" w14:textId="72E5D366" w:rsidR="00CA2748" w:rsidRPr="00155C3A" w:rsidRDefault="00F17964"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The local topography can be described as gentle to moderately undulating, allowing good accessibility and stable ground conditions for construction activities.</w:t>
            </w:r>
          </w:p>
        </w:tc>
      </w:tr>
      <w:tr w:rsidR="00CA2748" w:rsidRPr="00155C3A" w14:paraId="42497BE0"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0D18B96A" w14:textId="19671FE2" w:rsidR="00CA2748" w:rsidRPr="00155C3A" w:rsidRDefault="00965723" w:rsidP="00F62FAF">
            <w:pPr>
              <w:spacing w:before="40" w:after="140"/>
              <w:rPr>
                <w:rFonts w:ascii="Arial" w:hAnsi="Arial" w:cs="Arial"/>
              </w:rPr>
            </w:pPr>
            <w:r w:rsidRPr="00155C3A">
              <w:rPr>
                <w:rFonts w:ascii="Arial" w:hAnsi="Arial" w:cs="Arial"/>
              </w:rPr>
              <w:t>Climate</w:t>
            </w:r>
          </w:p>
        </w:tc>
        <w:tc>
          <w:tcPr>
            <w:tcW w:w="7642" w:type="dxa"/>
          </w:tcPr>
          <w:p w14:paraId="088DC84A" w14:textId="7839E417" w:rsidR="00CA2748" w:rsidRPr="00155C3A" w:rsidRDefault="00965723"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The area has a continental and relatively dry climate, with hot summers, mild but windy winters, and frequent periods of drought. Wind conditions are generally favourable for energy generation.</w:t>
            </w:r>
          </w:p>
        </w:tc>
      </w:tr>
      <w:tr w:rsidR="00CA2748" w:rsidRPr="00155C3A" w14:paraId="37A42126"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182214AC" w14:textId="2CCB76EE" w:rsidR="00CA2748" w:rsidRPr="00155C3A" w:rsidRDefault="0040121E" w:rsidP="00F62FAF">
            <w:pPr>
              <w:spacing w:before="40" w:after="140"/>
              <w:rPr>
                <w:rFonts w:ascii="Arial" w:hAnsi="Arial" w:cs="Arial"/>
              </w:rPr>
            </w:pPr>
            <w:r w:rsidRPr="00155C3A">
              <w:rPr>
                <w:rFonts w:ascii="Arial" w:hAnsi="Arial" w:cs="Arial"/>
              </w:rPr>
              <w:t>Geology and Soils</w:t>
            </w:r>
          </w:p>
        </w:tc>
        <w:tc>
          <w:tcPr>
            <w:tcW w:w="7642" w:type="dxa"/>
          </w:tcPr>
          <w:p w14:paraId="6E7FCB38" w14:textId="4B1F4891" w:rsidR="00CA2748" w:rsidRPr="00155C3A" w:rsidRDefault="0040121E"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Ground conditions are stable and suitable for construction, with soils primarily used for agriculture and already influenced by cultivation practices.</w:t>
            </w:r>
          </w:p>
        </w:tc>
      </w:tr>
      <w:tr w:rsidR="00A45EE9" w:rsidRPr="00155C3A" w14:paraId="321F3887"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75383070" w14:textId="15CC3019" w:rsidR="00A45EE9" w:rsidRPr="00155C3A" w:rsidRDefault="00A45EE9" w:rsidP="00F62FAF">
            <w:pPr>
              <w:spacing w:before="40" w:after="140"/>
              <w:rPr>
                <w:rFonts w:ascii="Arial" w:hAnsi="Arial" w:cs="Arial"/>
              </w:rPr>
            </w:pPr>
            <w:r w:rsidRPr="00155C3A">
              <w:rPr>
                <w:rFonts w:ascii="Arial" w:hAnsi="Arial" w:cs="Arial"/>
              </w:rPr>
              <w:t>Water Sources</w:t>
            </w:r>
          </w:p>
        </w:tc>
        <w:tc>
          <w:tcPr>
            <w:tcW w:w="7642" w:type="dxa"/>
          </w:tcPr>
          <w:p w14:paraId="07A72410" w14:textId="555DF6CA" w:rsidR="00A45EE9" w:rsidRPr="00155C3A"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both surface and groundwater resources are sparse and highly influenced by regional geological and climatic conditions. The Project area falls within two groundwater bodies which are publicly managed by the Constanta County – Dobrogea River Basin Administration, which monitors their quality regularly.</w:t>
            </w:r>
          </w:p>
        </w:tc>
      </w:tr>
      <w:tr w:rsidR="00A45EE9" w:rsidRPr="00155C3A" w14:paraId="15F8D85F"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66DFEC89" w14:textId="0E8ED25E" w:rsidR="00A45EE9" w:rsidRPr="00155C3A" w:rsidRDefault="00A45EE9" w:rsidP="00F62FAF">
            <w:pPr>
              <w:spacing w:before="40" w:after="140"/>
              <w:rPr>
                <w:rFonts w:ascii="Arial" w:hAnsi="Arial" w:cs="Arial"/>
              </w:rPr>
            </w:pPr>
            <w:r w:rsidRPr="00155C3A">
              <w:rPr>
                <w:rFonts w:ascii="Arial" w:hAnsi="Arial" w:cs="Arial"/>
              </w:rPr>
              <w:t>Air and Noise Quality</w:t>
            </w:r>
          </w:p>
        </w:tc>
        <w:tc>
          <w:tcPr>
            <w:tcW w:w="7642" w:type="dxa"/>
          </w:tcPr>
          <w:p w14:paraId="37821F55" w14:textId="280A0F07" w:rsidR="00A45EE9" w:rsidRPr="00155C3A"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Overall, </w:t>
            </w:r>
            <w:r w:rsidR="00200425" w:rsidRPr="00155C3A">
              <w:rPr>
                <w:rFonts w:ascii="Arial" w:hAnsi="Arial" w:cs="Arial"/>
              </w:rPr>
              <w:t>according</w:t>
            </w:r>
            <w:r w:rsidRPr="00155C3A">
              <w:rPr>
                <w:rFonts w:ascii="Arial" w:hAnsi="Arial" w:cs="Arial"/>
              </w:rPr>
              <w:t xml:space="preserve"> to the AON National EIA, Constanța County’s air quality is tracked by the National Air Quality Monitoring Network (RNMCA). A noise baseline survey was conducted by ERM in 2023 at the Project area to characterize the existing environmental sound levels prior to any construction activities.</w:t>
            </w:r>
          </w:p>
        </w:tc>
      </w:tr>
      <w:tr w:rsidR="00CA2748" w:rsidRPr="00155C3A" w14:paraId="0947B0BE"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2E9887BF" w14:textId="4B000423" w:rsidR="00CA2748" w:rsidRPr="00155C3A" w:rsidRDefault="0086075D" w:rsidP="00F62FAF">
            <w:pPr>
              <w:spacing w:before="40" w:after="140"/>
              <w:rPr>
                <w:rFonts w:ascii="Arial" w:hAnsi="Arial" w:cs="Arial"/>
              </w:rPr>
            </w:pPr>
            <w:r w:rsidRPr="00155C3A">
              <w:rPr>
                <w:rFonts w:ascii="Arial" w:hAnsi="Arial" w:cs="Arial"/>
              </w:rPr>
              <w:t>Habitats and Land Cover</w:t>
            </w:r>
          </w:p>
        </w:tc>
        <w:tc>
          <w:tcPr>
            <w:tcW w:w="7642" w:type="dxa"/>
          </w:tcPr>
          <w:p w14:paraId="2C9C752B" w14:textId="5965F31F" w:rsidR="00CA2748" w:rsidRPr="00155C3A" w:rsidRDefault="0086075D"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The landscape is highly dominated by agricultural use, with scattered natural and semi-natural elements and minimal urban or industrial development, indicating that human intervention is already the prevailing factor shaping the land cover. From a biogeographical perspective, the Project lies within the Pontic Steppe Ecoregion (PA0814), historically characterized by steppe grasslands (</w:t>
            </w:r>
            <w:r w:rsidRPr="00155C3A">
              <w:rPr>
                <w:rFonts w:ascii="Arial" w:hAnsi="Arial" w:cs="Arial"/>
                <w:i/>
                <w:iCs/>
              </w:rPr>
              <w:t>Stipa spp</w:t>
            </w:r>
            <w:r w:rsidRPr="00155C3A">
              <w:rPr>
                <w:rFonts w:ascii="Arial" w:hAnsi="Arial" w:cs="Arial"/>
              </w:rPr>
              <w:t xml:space="preserve">., </w:t>
            </w:r>
            <w:r w:rsidRPr="00155C3A">
              <w:rPr>
                <w:rFonts w:ascii="Arial" w:hAnsi="Arial" w:cs="Arial"/>
                <w:i/>
                <w:iCs/>
              </w:rPr>
              <w:t>Festuca spp</w:t>
            </w:r>
            <w:r w:rsidRPr="00155C3A">
              <w:rPr>
                <w:rFonts w:ascii="Arial" w:hAnsi="Arial" w:cs="Arial"/>
              </w:rPr>
              <w:t>.) and forest-steppe mosaics. However, these natural habitats have been extensively converted into arable land and pasture, resulting in a highly modified and fragmented landscape, where remnants of natural habitats persist only in small, isolated patches.</w:t>
            </w:r>
          </w:p>
        </w:tc>
      </w:tr>
      <w:tr w:rsidR="0086075D" w:rsidRPr="00155C3A" w14:paraId="099C3B9F"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61D2C5BF" w14:textId="17C42BD0" w:rsidR="0086075D" w:rsidRPr="00155C3A" w:rsidRDefault="00A45EE9" w:rsidP="00F62FAF">
            <w:pPr>
              <w:spacing w:before="40" w:after="140"/>
              <w:rPr>
                <w:rFonts w:ascii="Arial" w:hAnsi="Arial" w:cs="Arial"/>
              </w:rPr>
            </w:pPr>
            <w:r w:rsidRPr="00155C3A">
              <w:rPr>
                <w:rFonts w:ascii="Arial" w:hAnsi="Arial" w:cs="Arial"/>
              </w:rPr>
              <w:t>Protected Areas and Habitat</w:t>
            </w:r>
          </w:p>
        </w:tc>
        <w:tc>
          <w:tcPr>
            <w:tcW w:w="7642" w:type="dxa"/>
          </w:tcPr>
          <w:p w14:paraId="0F922F29" w14:textId="77777777" w:rsidR="0086075D" w:rsidRPr="00155C3A"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The Project partially overlaps two Natura 2000 Sites of Community Importance (ROSCI0353 </w:t>
            </w:r>
            <w:proofErr w:type="spellStart"/>
            <w:r w:rsidRPr="00155C3A">
              <w:rPr>
                <w:rFonts w:ascii="Arial" w:hAnsi="Arial" w:cs="Arial"/>
              </w:rPr>
              <w:t>Peștera</w:t>
            </w:r>
            <w:proofErr w:type="spellEnd"/>
            <w:r w:rsidRPr="00155C3A">
              <w:rPr>
                <w:rFonts w:ascii="Arial" w:hAnsi="Arial" w:cs="Arial"/>
              </w:rPr>
              <w:t xml:space="preserve"> – </w:t>
            </w:r>
            <w:proofErr w:type="spellStart"/>
            <w:r w:rsidRPr="00155C3A">
              <w:rPr>
                <w:rFonts w:ascii="Arial" w:hAnsi="Arial" w:cs="Arial"/>
              </w:rPr>
              <w:t>Deleni</w:t>
            </w:r>
            <w:proofErr w:type="spellEnd"/>
            <w:r w:rsidRPr="00155C3A">
              <w:rPr>
                <w:rFonts w:ascii="Arial" w:hAnsi="Arial" w:cs="Arial"/>
              </w:rPr>
              <w:t xml:space="preserve"> and ROSCI0071 </w:t>
            </w:r>
            <w:proofErr w:type="spellStart"/>
            <w:r w:rsidRPr="00155C3A">
              <w:rPr>
                <w:rFonts w:ascii="Arial" w:hAnsi="Arial" w:cs="Arial"/>
              </w:rPr>
              <w:t>Dumbrăveni</w:t>
            </w:r>
            <w:proofErr w:type="spellEnd"/>
            <w:r w:rsidRPr="00155C3A">
              <w:rPr>
                <w:rFonts w:ascii="Arial" w:hAnsi="Arial" w:cs="Arial"/>
              </w:rPr>
              <w:t xml:space="preserve"> – Valea </w:t>
            </w:r>
            <w:proofErr w:type="spellStart"/>
            <w:r w:rsidRPr="00155C3A">
              <w:rPr>
                <w:rFonts w:ascii="Arial" w:hAnsi="Arial" w:cs="Arial"/>
              </w:rPr>
              <w:t>Urluia</w:t>
            </w:r>
            <w:proofErr w:type="spellEnd"/>
            <w:r w:rsidRPr="00155C3A">
              <w:rPr>
                <w:rFonts w:ascii="Arial" w:hAnsi="Arial" w:cs="Arial"/>
              </w:rPr>
              <w:t xml:space="preserve"> – </w:t>
            </w:r>
            <w:proofErr w:type="spellStart"/>
            <w:r w:rsidRPr="00155C3A">
              <w:rPr>
                <w:rFonts w:ascii="Arial" w:hAnsi="Arial" w:cs="Arial"/>
              </w:rPr>
              <w:t>Lacul</w:t>
            </w:r>
            <w:proofErr w:type="spellEnd"/>
            <w:r w:rsidRPr="00155C3A">
              <w:rPr>
                <w:rFonts w:ascii="Arial" w:hAnsi="Arial" w:cs="Arial"/>
              </w:rPr>
              <w:t xml:space="preserve"> </w:t>
            </w:r>
            <w:proofErr w:type="spellStart"/>
            <w:r w:rsidRPr="00155C3A">
              <w:rPr>
                <w:rFonts w:ascii="Arial" w:hAnsi="Arial" w:cs="Arial"/>
              </w:rPr>
              <w:t>Vederoasa</w:t>
            </w:r>
            <w:proofErr w:type="spellEnd"/>
            <w:r w:rsidRPr="00155C3A">
              <w:rPr>
                <w:rFonts w:ascii="Arial" w:hAnsi="Arial" w:cs="Arial"/>
              </w:rPr>
              <w:t xml:space="preserve">), although the overlap occurs exclusively on intensively cultivated agricultural land of negligible ecological value, with no qualifying habitats or species recorded within the affected footprint. Additional nearby designated areas include ROSPA0001 Aliman – </w:t>
            </w:r>
            <w:proofErr w:type="spellStart"/>
            <w:r w:rsidRPr="00155C3A">
              <w:rPr>
                <w:rFonts w:ascii="Arial" w:hAnsi="Arial" w:cs="Arial"/>
              </w:rPr>
              <w:t>Adamclisi</w:t>
            </w:r>
            <w:proofErr w:type="spellEnd"/>
            <w:r w:rsidRPr="00155C3A">
              <w:rPr>
                <w:rFonts w:ascii="Arial" w:hAnsi="Arial" w:cs="Arial"/>
              </w:rPr>
              <w:t xml:space="preserve"> (SPA), also recognized as an Important Bird Area (IBA) and Key Biodiversity Area (KBA), and ROSPA0036 </w:t>
            </w:r>
            <w:proofErr w:type="spellStart"/>
            <w:r w:rsidRPr="00155C3A">
              <w:rPr>
                <w:rFonts w:ascii="Arial" w:hAnsi="Arial" w:cs="Arial"/>
              </w:rPr>
              <w:t>Dumbrăveni</w:t>
            </w:r>
            <w:proofErr w:type="spellEnd"/>
            <w:r w:rsidRPr="00155C3A">
              <w:rPr>
                <w:rFonts w:ascii="Arial" w:hAnsi="Arial" w:cs="Arial"/>
              </w:rPr>
              <w:t>. The wider area also includes IBAs (</w:t>
            </w:r>
            <w:proofErr w:type="spellStart"/>
            <w:r w:rsidRPr="00155C3A">
              <w:rPr>
                <w:rFonts w:ascii="Arial" w:hAnsi="Arial" w:cs="Arial"/>
              </w:rPr>
              <w:t>Dumbrăveni-Plopeni</w:t>
            </w:r>
            <w:proofErr w:type="spellEnd"/>
            <w:r w:rsidRPr="00155C3A">
              <w:rPr>
                <w:rFonts w:ascii="Arial" w:hAnsi="Arial" w:cs="Arial"/>
              </w:rPr>
              <w:t xml:space="preserve"> and Aliman–</w:t>
            </w:r>
            <w:proofErr w:type="spellStart"/>
            <w:r w:rsidRPr="00155C3A">
              <w:rPr>
                <w:rFonts w:ascii="Arial" w:hAnsi="Arial" w:cs="Arial"/>
              </w:rPr>
              <w:t>Adamclisi</w:t>
            </w:r>
            <w:proofErr w:type="spellEnd"/>
            <w:r w:rsidRPr="00155C3A">
              <w:rPr>
                <w:rFonts w:ascii="Arial" w:hAnsi="Arial" w:cs="Arial"/>
              </w:rPr>
              <w:t xml:space="preserve">) and the Ramsar site </w:t>
            </w:r>
            <w:proofErr w:type="spellStart"/>
            <w:r w:rsidRPr="00155C3A">
              <w:rPr>
                <w:rFonts w:ascii="Arial" w:hAnsi="Arial" w:cs="Arial"/>
              </w:rPr>
              <w:t>Ostroavele</w:t>
            </w:r>
            <w:proofErr w:type="spellEnd"/>
            <w:r w:rsidRPr="00155C3A">
              <w:rPr>
                <w:rFonts w:ascii="Arial" w:hAnsi="Arial" w:cs="Arial"/>
              </w:rPr>
              <w:t xml:space="preserve"> </w:t>
            </w:r>
            <w:proofErr w:type="spellStart"/>
            <w:r w:rsidRPr="00155C3A">
              <w:rPr>
                <w:rFonts w:ascii="Arial" w:hAnsi="Arial" w:cs="Arial"/>
              </w:rPr>
              <w:t>Dunării</w:t>
            </w:r>
            <w:proofErr w:type="spellEnd"/>
            <w:r w:rsidRPr="00155C3A">
              <w:rPr>
                <w:rFonts w:ascii="Arial" w:hAnsi="Arial" w:cs="Arial"/>
              </w:rPr>
              <w:t xml:space="preserve"> – </w:t>
            </w:r>
            <w:proofErr w:type="spellStart"/>
            <w:r w:rsidRPr="00155C3A">
              <w:rPr>
                <w:rFonts w:ascii="Arial" w:hAnsi="Arial" w:cs="Arial"/>
              </w:rPr>
              <w:t>Bugeac</w:t>
            </w:r>
            <w:proofErr w:type="spellEnd"/>
            <w:r w:rsidRPr="00155C3A">
              <w:rPr>
                <w:rFonts w:ascii="Arial" w:hAnsi="Arial" w:cs="Arial"/>
              </w:rPr>
              <w:t xml:space="preserve"> – </w:t>
            </w:r>
            <w:proofErr w:type="spellStart"/>
            <w:r w:rsidRPr="00155C3A">
              <w:rPr>
                <w:rFonts w:ascii="Arial" w:hAnsi="Arial" w:cs="Arial"/>
              </w:rPr>
              <w:t>Iortmac</w:t>
            </w:r>
            <w:proofErr w:type="spellEnd"/>
            <w:r w:rsidRPr="00155C3A">
              <w:rPr>
                <w:rFonts w:ascii="Arial" w:hAnsi="Arial" w:cs="Arial"/>
              </w:rPr>
              <w:t>.</w:t>
            </w:r>
          </w:p>
          <w:p w14:paraId="6DF9220D" w14:textId="24EF4A8C" w:rsidR="00A45EE9" w:rsidRPr="00155C3A"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lastRenderedPageBreak/>
              <w:t>Habitat surveys identified a predominance of low ecological value habitats, including ruderal vegetation, anthropogenic herbaceous communities, and intensive agricultural land. However, three Annex I habitat types of conservation importance (Ponto-</w:t>
            </w:r>
            <w:proofErr w:type="spellStart"/>
            <w:r w:rsidRPr="00155C3A">
              <w:rPr>
                <w:rFonts w:ascii="Arial" w:hAnsi="Arial" w:cs="Arial"/>
              </w:rPr>
              <w:t>Sarmatic</w:t>
            </w:r>
            <w:proofErr w:type="spellEnd"/>
            <w:r w:rsidRPr="00155C3A">
              <w:rPr>
                <w:rFonts w:ascii="Arial" w:hAnsi="Arial" w:cs="Arial"/>
              </w:rPr>
              <w:t xml:space="preserve"> steppes – 62C0</w:t>
            </w:r>
            <w:r w:rsidR="00200425">
              <w:rPr>
                <w:rFonts w:ascii="Arial" w:hAnsi="Arial" w:cs="Arial"/>
              </w:rPr>
              <w:t>*</w:t>
            </w:r>
            <w:r w:rsidRPr="00155C3A">
              <w:rPr>
                <w:rFonts w:ascii="Arial" w:hAnsi="Arial" w:cs="Arial"/>
              </w:rPr>
              <w:t>, Ponto-</w:t>
            </w:r>
            <w:proofErr w:type="spellStart"/>
            <w:r w:rsidRPr="00155C3A">
              <w:rPr>
                <w:rFonts w:ascii="Arial" w:hAnsi="Arial" w:cs="Arial"/>
              </w:rPr>
              <w:t>Sarmatic</w:t>
            </w:r>
            <w:proofErr w:type="spellEnd"/>
            <w:r w:rsidRPr="00155C3A">
              <w:rPr>
                <w:rFonts w:ascii="Arial" w:hAnsi="Arial" w:cs="Arial"/>
              </w:rPr>
              <w:t xml:space="preserve"> deciduous thickets – 40C0</w:t>
            </w:r>
            <w:r w:rsidR="00200425">
              <w:rPr>
                <w:rFonts w:ascii="Arial" w:hAnsi="Arial" w:cs="Arial"/>
              </w:rPr>
              <w:t>*</w:t>
            </w:r>
            <w:r w:rsidRPr="00155C3A">
              <w:rPr>
                <w:rFonts w:ascii="Arial" w:hAnsi="Arial" w:cs="Arial"/>
              </w:rPr>
              <w:t>, and Euro-Siberian forest-steppe woods – 91I0</w:t>
            </w:r>
            <w:r w:rsidR="00F901BE">
              <w:rPr>
                <w:rFonts w:ascii="Arial" w:hAnsi="Arial" w:cs="Arial"/>
              </w:rPr>
              <w:t>*</w:t>
            </w:r>
            <w:r w:rsidRPr="00155C3A">
              <w:rPr>
                <w:rFonts w:ascii="Arial" w:hAnsi="Arial" w:cs="Arial"/>
              </w:rPr>
              <w:t>) occur within the wider area</w:t>
            </w:r>
            <w:r w:rsidR="0072035F">
              <w:rPr>
                <w:rFonts w:ascii="Arial" w:hAnsi="Arial" w:cs="Arial"/>
              </w:rPr>
              <w:t>.</w:t>
            </w:r>
          </w:p>
        </w:tc>
      </w:tr>
      <w:tr w:rsidR="00CA2748" w:rsidRPr="00155C3A" w14:paraId="65467EE1"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1E540C64" w14:textId="6B0D5027" w:rsidR="00CA2748" w:rsidRPr="00155C3A" w:rsidRDefault="00A45EE9" w:rsidP="00F62FAF">
            <w:pPr>
              <w:spacing w:before="40" w:after="140"/>
              <w:rPr>
                <w:rFonts w:ascii="Arial" w:hAnsi="Arial" w:cs="Arial"/>
              </w:rPr>
            </w:pPr>
            <w:r w:rsidRPr="00155C3A">
              <w:rPr>
                <w:rFonts w:ascii="Arial" w:hAnsi="Arial" w:cs="Arial"/>
              </w:rPr>
              <w:lastRenderedPageBreak/>
              <w:t>Flora</w:t>
            </w:r>
          </w:p>
        </w:tc>
        <w:tc>
          <w:tcPr>
            <w:tcW w:w="7642" w:type="dxa"/>
          </w:tcPr>
          <w:p w14:paraId="196C27FB" w14:textId="4AF43D5E" w:rsidR="00CA2748" w:rsidRPr="00155C3A"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Flora surveys recorded 181 vascular plant species, of which eight are listed on the Romanian Red List. However, </w:t>
            </w:r>
            <w:r w:rsidR="00824773">
              <w:rPr>
                <w:rFonts w:ascii="Arial" w:hAnsi="Arial" w:cs="Arial"/>
              </w:rPr>
              <w:t xml:space="preserve">based on the </w:t>
            </w:r>
            <w:r w:rsidR="004310B3">
              <w:rPr>
                <w:rFonts w:ascii="Arial" w:hAnsi="Arial" w:cs="Arial"/>
              </w:rPr>
              <w:t xml:space="preserve">field studies </w:t>
            </w:r>
            <w:r w:rsidR="00E112ED">
              <w:rPr>
                <w:rFonts w:ascii="Arial" w:hAnsi="Arial" w:cs="Arial"/>
              </w:rPr>
              <w:t xml:space="preserve">performed, </w:t>
            </w:r>
            <w:r w:rsidRPr="00155C3A">
              <w:rPr>
                <w:rFonts w:ascii="Arial" w:hAnsi="Arial" w:cs="Arial"/>
              </w:rPr>
              <w:t>no plant species of conservation concern were confirmed within the Project footprint, which is dominated by ruderal and segetal species typical of agricultural environments.</w:t>
            </w:r>
          </w:p>
        </w:tc>
      </w:tr>
      <w:tr w:rsidR="00A45EE9" w:rsidRPr="00155C3A" w14:paraId="55D71DD8"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1D992452" w14:textId="342F7F2D" w:rsidR="00A45EE9" w:rsidRPr="00155C3A" w:rsidRDefault="00A45EE9" w:rsidP="00F62FAF">
            <w:pPr>
              <w:spacing w:before="40" w:after="140"/>
              <w:rPr>
                <w:rFonts w:ascii="Arial" w:hAnsi="Arial" w:cs="Arial"/>
              </w:rPr>
            </w:pPr>
            <w:r w:rsidRPr="00155C3A">
              <w:rPr>
                <w:rFonts w:ascii="Arial" w:hAnsi="Arial" w:cs="Arial"/>
              </w:rPr>
              <w:t>Terrestrial Fauna</w:t>
            </w:r>
          </w:p>
        </w:tc>
        <w:tc>
          <w:tcPr>
            <w:tcW w:w="7642" w:type="dxa"/>
          </w:tcPr>
          <w:p w14:paraId="17132DF7" w14:textId="3D503EF2" w:rsidR="00A45EE9" w:rsidRPr="00155C3A"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Faunal surveys identified several species of conservation interest. Mammal surveys confirmed the presence of species such as </w:t>
            </w:r>
            <w:r w:rsidRPr="00155C3A">
              <w:rPr>
                <w:rFonts w:ascii="Arial" w:hAnsi="Arial" w:cs="Arial"/>
                <w:i/>
                <w:iCs/>
              </w:rPr>
              <w:t xml:space="preserve">Spermophilus </w:t>
            </w:r>
            <w:proofErr w:type="spellStart"/>
            <w:r w:rsidRPr="00155C3A">
              <w:rPr>
                <w:rFonts w:ascii="Arial" w:hAnsi="Arial" w:cs="Arial"/>
                <w:i/>
                <w:iCs/>
              </w:rPr>
              <w:t>citellus</w:t>
            </w:r>
            <w:proofErr w:type="spellEnd"/>
            <w:r w:rsidRPr="00155C3A">
              <w:rPr>
                <w:rFonts w:ascii="Arial" w:hAnsi="Arial" w:cs="Arial"/>
              </w:rPr>
              <w:t xml:space="preserve"> (Endangered), </w:t>
            </w:r>
            <w:proofErr w:type="spellStart"/>
            <w:r w:rsidRPr="00155C3A">
              <w:rPr>
                <w:rFonts w:ascii="Arial" w:hAnsi="Arial" w:cs="Arial"/>
                <w:i/>
                <w:iCs/>
              </w:rPr>
              <w:t>Mesocricetus</w:t>
            </w:r>
            <w:proofErr w:type="spellEnd"/>
            <w:r w:rsidRPr="00155C3A">
              <w:rPr>
                <w:rFonts w:ascii="Arial" w:hAnsi="Arial" w:cs="Arial"/>
                <w:i/>
                <w:iCs/>
              </w:rPr>
              <w:t xml:space="preserve"> newtoni</w:t>
            </w:r>
            <w:r w:rsidRPr="00155C3A">
              <w:rPr>
                <w:rFonts w:ascii="Arial" w:hAnsi="Arial" w:cs="Arial"/>
              </w:rPr>
              <w:t xml:space="preserve"> (Near Threatened), and </w:t>
            </w:r>
            <w:r w:rsidRPr="00155C3A">
              <w:rPr>
                <w:rFonts w:ascii="Arial" w:hAnsi="Arial" w:cs="Arial"/>
                <w:i/>
                <w:iCs/>
              </w:rPr>
              <w:t xml:space="preserve">Testudo </w:t>
            </w:r>
            <w:proofErr w:type="spellStart"/>
            <w:r w:rsidRPr="00155C3A">
              <w:rPr>
                <w:rFonts w:ascii="Arial" w:hAnsi="Arial" w:cs="Arial"/>
                <w:i/>
                <w:iCs/>
              </w:rPr>
              <w:t>graeca</w:t>
            </w:r>
            <w:proofErr w:type="spellEnd"/>
            <w:r w:rsidRPr="00155C3A">
              <w:rPr>
                <w:rFonts w:ascii="Arial" w:hAnsi="Arial" w:cs="Arial"/>
              </w:rPr>
              <w:t xml:space="preserve"> (Vulnerable). Reptile surveys recorded common species of low conservation concern.</w:t>
            </w:r>
          </w:p>
        </w:tc>
      </w:tr>
      <w:tr w:rsidR="00A45EE9" w:rsidRPr="00155C3A" w14:paraId="0C2FCF86"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20454D92" w14:textId="1006F493" w:rsidR="00A45EE9" w:rsidRPr="00155C3A" w:rsidRDefault="00A45EE9" w:rsidP="00F62FAF">
            <w:pPr>
              <w:spacing w:before="40" w:after="140"/>
              <w:rPr>
                <w:rFonts w:ascii="Arial" w:hAnsi="Arial" w:cs="Arial"/>
              </w:rPr>
            </w:pPr>
            <w:r w:rsidRPr="00155C3A">
              <w:rPr>
                <w:rFonts w:ascii="Arial" w:hAnsi="Arial" w:cs="Arial"/>
              </w:rPr>
              <w:t>Birds and Bats</w:t>
            </w:r>
          </w:p>
        </w:tc>
        <w:tc>
          <w:tcPr>
            <w:tcW w:w="7642" w:type="dxa"/>
          </w:tcPr>
          <w:p w14:paraId="7B4EFEDA" w14:textId="77777777" w:rsidR="00A45EE9" w:rsidRPr="00155C3A"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Ornithological surveys recorded high species richness, with 118 species historically and 126 species during 2022–2023 monitoring, including 40 Annex I species and 15 species listed as Near Threatened or higher on the IUCN Red List. The site is used by migratory, foraging, and locally breeding birds, although it does not support nesting populations of the most sensitive raptors. Bat surveys recorded 22 species or species groups (approximately 69% of Romania’s bat fauna), all protected under Annex IV of the Habitats Directive. The species </w:t>
            </w:r>
            <w:proofErr w:type="spellStart"/>
            <w:r w:rsidRPr="00155C3A">
              <w:rPr>
                <w:rFonts w:ascii="Arial" w:hAnsi="Arial" w:cs="Arial"/>
              </w:rPr>
              <w:t>Miniopterus</w:t>
            </w:r>
            <w:proofErr w:type="spellEnd"/>
            <w:r w:rsidRPr="00155C3A">
              <w:rPr>
                <w:rFonts w:ascii="Arial" w:hAnsi="Arial" w:cs="Arial"/>
              </w:rPr>
              <w:t xml:space="preserve"> </w:t>
            </w:r>
            <w:proofErr w:type="spellStart"/>
            <w:r w:rsidRPr="00155C3A">
              <w:rPr>
                <w:rFonts w:ascii="Arial" w:hAnsi="Arial" w:cs="Arial"/>
              </w:rPr>
              <w:t>schreibersii</w:t>
            </w:r>
            <w:proofErr w:type="spellEnd"/>
            <w:r w:rsidRPr="00155C3A">
              <w:rPr>
                <w:rFonts w:ascii="Arial" w:hAnsi="Arial" w:cs="Arial"/>
              </w:rPr>
              <w:t xml:space="preserve"> is also listed under Annex II and classified as Vulnerable globally.</w:t>
            </w:r>
          </w:p>
          <w:p w14:paraId="1DBD8F51" w14:textId="338668BE" w:rsidR="00A45EE9" w:rsidRPr="00155C3A"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A total of 134 species </w:t>
            </w:r>
            <w:proofErr w:type="gramStart"/>
            <w:r w:rsidRPr="00155C3A">
              <w:rPr>
                <w:rFonts w:ascii="Arial" w:hAnsi="Arial" w:cs="Arial"/>
              </w:rPr>
              <w:t>have</w:t>
            </w:r>
            <w:proofErr w:type="gramEnd"/>
            <w:r w:rsidRPr="00155C3A">
              <w:rPr>
                <w:rFonts w:ascii="Arial" w:hAnsi="Arial" w:cs="Arial"/>
              </w:rPr>
              <w:t xml:space="preserve"> been identified as Priority Biodiversity Features (PBFs) in accordance with EBRD ESR6, including 115 migratory bird species regularly using the Project area and additional species of conservation concern across taxa.</w:t>
            </w:r>
          </w:p>
        </w:tc>
      </w:tr>
      <w:tr w:rsidR="00A45EE9" w:rsidRPr="00155C3A" w14:paraId="5FF1BA47"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4CC499B0" w14:textId="3BF40EFA" w:rsidR="00A45EE9" w:rsidRPr="00155C3A" w:rsidRDefault="00A45EE9" w:rsidP="00F62FAF">
            <w:pPr>
              <w:spacing w:before="40" w:after="140"/>
              <w:rPr>
                <w:rFonts w:ascii="Arial" w:hAnsi="Arial" w:cs="Arial"/>
              </w:rPr>
            </w:pPr>
            <w:r w:rsidRPr="00155C3A">
              <w:rPr>
                <w:rFonts w:ascii="Arial" w:hAnsi="Arial" w:cs="Arial"/>
              </w:rPr>
              <w:t>Critical Habitats</w:t>
            </w:r>
          </w:p>
        </w:tc>
        <w:tc>
          <w:tcPr>
            <w:tcW w:w="7642" w:type="dxa"/>
          </w:tcPr>
          <w:p w14:paraId="2D48E123" w14:textId="478599CA" w:rsidR="00A45EE9" w:rsidRPr="00155C3A"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The Critical Habitat Assessment (CHA) indicates that the Project does not meet IFC PS6 criteria for Critical Habitat. However, under EBRD ESR6, the presence of Annex I habitats (within the wider area) and qualifying species results in a precautionary classification of certain features as Critical Habitat and confirms the presence of Priority Biodiversity Features requiring specific mitigation and monitoring measures.</w:t>
            </w:r>
          </w:p>
        </w:tc>
      </w:tr>
    </w:tbl>
    <w:p w14:paraId="49734A06" w14:textId="77777777" w:rsidR="005C5B6F" w:rsidRDefault="005C5B6F" w:rsidP="00FA5900">
      <w:bookmarkStart w:id="38" w:name="_Toc229650185"/>
      <w:bookmarkStart w:id="39" w:name="_Toc229489995"/>
    </w:p>
    <w:p w14:paraId="62735AEE" w14:textId="6DD2C242" w:rsidR="00E70765" w:rsidRDefault="00E70765" w:rsidP="00C16E23">
      <w:pPr>
        <w:pStyle w:val="Heading2"/>
        <w:ind w:left="680" w:hanging="680"/>
        <w:rPr>
          <w:rFonts w:ascii="Arial" w:hAnsi="Arial" w:cs="Arial"/>
        </w:rPr>
      </w:pPr>
      <w:r>
        <w:rPr>
          <w:rFonts w:ascii="Arial" w:hAnsi="Arial" w:cs="Arial"/>
        </w:rPr>
        <w:t>Bird and bat collision risk management</w:t>
      </w:r>
      <w:bookmarkEnd w:id="38"/>
      <w:r>
        <w:rPr>
          <w:rFonts w:ascii="Arial" w:hAnsi="Arial" w:cs="Arial"/>
        </w:rPr>
        <w:t xml:space="preserve"> </w:t>
      </w:r>
    </w:p>
    <w:p w14:paraId="57076BE1" w14:textId="77777777" w:rsidR="00E4508F" w:rsidRPr="00FA5900" w:rsidRDefault="00E4508F" w:rsidP="00FA5900">
      <w:pPr>
        <w:jc w:val="both"/>
        <w:rPr>
          <w:rFonts w:asciiTheme="minorBidi" w:hAnsiTheme="minorBidi"/>
        </w:rPr>
      </w:pPr>
      <w:r w:rsidRPr="00FA5900">
        <w:rPr>
          <w:rFonts w:asciiTheme="minorBidi" w:hAnsiTheme="minorBidi"/>
        </w:rPr>
        <w:t xml:space="preserve">The Project includes specific measures to reduce collision risks for birds and bats during operation. These include </w:t>
      </w:r>
      <w:proofErr w:type="spellStart"/>
      <w:r w:rsidRPr="00FA5900">
        <w:rPr>
          <w:rFonts w:asciiTheme="minorBidi" w:hAnsiTheme="minorBidi"/>
        </w:rPr>
        <w:t>minimising</w:t>
      </w:r>
      <w:proofErr w:type="spellEnd"/>
      <w:r w:rsidRPr="00FA5900">
        <w:rPr>
          <w:rFonts w:asciiTheme="minorBidi" w:hAnsiTheme="minorBidi"/>
        </w:rPr>
        <w:t xml:space="preserve"> turbine lighting to avoid attracting fauna, installing bird flight diverters and insulated overhead lines, and using automated shut-down-on-demand technology where required.</w:t>
      </w:r>
    </w:p>
    <w:p w14:paraId="52C26B68" w14:textId="77777777" w:rsidR="00E4508F" w:rsidRPr="00FA5900" w:rsidRDefault="00E4508F" w:rsidP="00FA5900">
      <w:pPr>
        <w:jc w:val="both"/>
        <w:rPr>
          <w:rFonts w:asciiTheme="minorBidi" w:hAnsiTheme="minorBidi"/>
        </w:rPr>
      </w:pPr>
      <w:r w:rsidRPr="00FA5900">
        <w:rPr>
          <w:rFonts w:asciiTheme="minorBidi" w:hAnsiTheme="minorBidi"/>
        </w:rPr>
        <w:lastRenderedPageBreak/>
        <w:t>Shut-down-on-demand systems use cameras or sensors to detect birds approaching turbines. Where a collision risk is identified, the system can trigger a temporary slow-down or shutdown of selected turbines. The turbines can then restart once the risk has passed.</w:t>
      </w:r>
    </w:p>
    <w:p w14:paraId="079F585D" w14:textId="77777777" w:rsidR="00E4508F" w:rsidRPr="00FA5900" w:rsidRDefault="00E4508F" w:rsidP="00FA5900">
      <w:pPr>
        <w:jc w:val="both"/>
        <w:rPr>
          <w:rFonts w:asciiTheme="minorBidi" w:hAnsiTheme="minorBidi"/>
        </w:rPr>
      </w:pPr>
      <w:r w:rsidRPr="00FA5900">
        <w:rPr>
          <w:rFonts w:asciiTheme="minorBidi" w:hAnsiTheme="minorBidi"/>
        </w:rPr>
        <w:t>Additional measures include blade feathering and turbine curtailment during periods of high bat activity and low wind speeds. Bird and bat mortality will be monitored during operation, and the results will be used to adjust mitigation measures where needed.</w:t>
      </w:r>
    </w:p>
    <w:p w14:paraId="75B55AD6" w14:textId="77777777" w:rsidR="005C4431" w:rsidRDefault="005C4431" w:rsidP="00E4508F"/>
    <w:p w14:paraId="61C763EA" w14:textId="0B0BAFE2" w:rsidR="00A6793D" w:rsidRDefault="005C4431" w:rsidP="005C4431">
      <w:pPr>
        <w:pStyle w:val="Heading1"/>
      </w:pPr>
      <w:bookmarkStart w:id="40" w:name="_Toc229650186"/>
      <w:r>
        <w:t xml:space="preserve">How the bird detection and automatic shut-down system </w:t>
      </w:r>
      <w:bookmarkEnd w:id="40"/>
      <w:r w:rsidR="005C5B6F">
        <w:t>work</w:t>
      </w:r>
    </w:p>
    <w:p w14:paraId="77006013" w14:textId="77777777" w:rsidR="00A6793D" w:rsidRPr="00FA5900" w:rsidRDefault="00A6793D" w:rsidP="00FA5900">
      <w:pPr>
        <w:jc w:val="both"/>
        <w:rPr>
          <w:rFonts w:asciiTheme="minorBidi" w:hAnsiTheme="minorBidi"/>
        </w:rPr>
      </w:pPr>
      <w:r w:rsidRPr="00FA5900">
        <w:rPr>
          <w:rFonts w:asciiTheme="minorBidi" w:hAnsiTheme="minorBidi"/>
        </w:rPr>
        <w:t>The Project may use camera-based bird detection systems to help reduce collision risk during operation. These systems are automated monitoring tools installed on or near selected wind turbines. They typically include high-resolution optical cameras, and in some systems thermal or infrared cameras, which continuously scan the airspace around the turbine and detect birds approaching the rotor-swept area.</w:t>
      </w:r>
    </w:p>
    <w:p w14:paraId="6472BE59" w14:textId="77777777" w:rsidR="00A6793D" w:rsidRPr="00FA5900" w:rsidRDefault="00A6793D" w:rsidP="00FA5900">
      <w:pPr>
        <w:jc w:val="both"/>
        <w:rPr>
          <w:rFonts w:asciiTheme="minorBidi" w:hAnsiTheme="minorBidi"/>
        </w:rPr>
      </w:pPr>
      <w:r w:rsidRPr="00FA5900">
        <w:rPr>
          <w:rFonts w:asciiTheme="minorBidi" w:hAnsiTheme="minorBidi"/>
        </w:rPr>
        <w:t>The cameras are connected to software that analyses the bird’s size, movement, flight path and distance from the turbine. If the system identifies a potential collision risk, it can trigger an automatic response, such as slowing down or temporarily stopping the relevant turbine. The turbine remains slowed or stopped only for the period needed to allow the bird to pass. Once the risk has passed, the turbine can restart.</w:t>
      </w:r>
    </w:p>
    <w:p w14:paraId="20FD4981" w14:textId="77777777" w:rsidR="00A6793D" w:rsidRPr="00FA5900" w:rsidRDefault="00A6793D" w:rsidP="00FA5900">
      <w:pPr>
        <w:jc w:val="both"/>
        <w:rPr>
          <w:rFonts w:asciiTheme="minorBidi" w:hAnsiTheme="minorBidi"/>
        </w:rPr>
      </w:pPr>
      <w:r w:rsidRPr="00FA5900">
        <w:rPr>
          <w:rFonts w:asciiTheme="minorBidi" w:hAnsiTheme="minorBidi"/>
        </w:rPr>
        <w:t>This measure helps reduce the likelihood of bird collisions during operation. It will be supported by bird and bat monitoring and adaptive management, meaning that mitigation measures can be reviewed and adjusted where monitoring results show this is needed.</w:t>
      </w:r>
    </w:p>
    <w:p w14:paraId="1A70E830" w14:textId="375C0F65" w:rsidR="005C4431" w:rsidRDefault="005C4431" w:rsidP="00FA5900">
      <w:r>
        <w:t xml:space="preserve"> </w:t>
      </w:r>
    </w:p>
    <w:p w14:paraId="3BA7E145" w14:textId="77777777" w:rsidR="001F378E" w:rsidRDefault="001F378E" w:rsidP="001F378E"/>
    <w:p w14:paraId="7B136B92" w14:textId="6A8C02ED" w:rsidR="001F378E" w:rsidRDefault="001F378E" w:rsidP="001F378E">
      <w:r w:rsidRPr="00C47AEF">
        <w:rPr>
          <w:noProof/>
        </w:rPr>
        <w:lastRenderedPageBreak/>
        <w:drawing>
          <wp:inline distT="0" distB="0" distL="0" distR="0" wp14:anchorId="18593563" wp14:editId="609B11C3">
            <wp:extent cx="6296025" cy="4744720"/>
            <wp:effectExtent l="0" t="0" r="9525" b="0"/>
            <wp:docPr id="304546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81472" name=""/>
                    <pic:cNvPicPr/>
                  </pic:nvPicPr>
                  <pic:blipFill>
                    <a:blip r:embed="rId34"/>
                    <a:stretch>
                      <a:fillRect/>
                    </a:stretch>
                  </pic:blipFill>
                  <pic:spPr>
                    <a:xfrm>
                      <a:off x="0" y="0"/>
                      <a:ext cx="6296025" cy="4744720"/>
                    </a:xfrm>
                    <a:prstGeom prst="rect">
                      <a:avLst/>
                    </a:prstGeom>
                  </pic:spPr>
                </pic:pic>
              </a:graphicData>
            </a:graphic>
          </wp:inline>
        </w:drawing>
      </w:r>
    </w:p>
    <w:p w14:paraId="18680AF2" w14:textId="5A672E77" w:rsidR="00F65D98" w:rsidRPr="00FA5900" w:rsidRDefault="00F65D98" w:rsidP="00FA5900">
      <w:pPr>
        <w:jc w:val="center"/>
        <w:rPr>
          <w:rFonts w:asciiTheme="minorBidi" w:hAnsiTheme="minorBidi"/>
          <w:b/>
          <w:bCs/>
        </w:rPr>
      </w:pPr>
      <w:r w:rsidRPr="00FA5900">
        <w:rPr>
          <w:rFonts w:asciiTheme="minorBidi" w:hAnsiTheme="minorBidi"/>
          <w:b/>
          <w:bCs/>
        </w:rPr>
        <w:t>Simplified illustration of a camera-based bird detection and automatic turbine slow-down/shutdown system</w:t>
      </w:r>
    </w:p>
    <w:p w14:paraId="2C0AC672" w14:textId="76E8043F" w:rsidR="006A7989" w:rsidRDefault="00B15DE4" w:rsidP="00E4508F">
      <w:r w:rsidRPr="00B15DE4">
        <w:rPr>
          <w:noProof/>
        </w:rPr>
        <w:lastRenderedPageBreak/>
        <w:drawing>
          <wp:inline distT="0" distB="0" distL="0" distR="0" wp14:anchorId="3DF7DD12" wp14:editId="11FBF850">
            <wp:extent cx="6296025" cy="3328670"/>
            <wp:effectExtent l="0" t="0" r="9525" b="5080"/>
            <wp:docPr id="1724572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2606" name=""/>
                    <pic:cNvPicPr/>
                  </pic:nvPicPr>
                  <pic:blipFill>
                    <a:blip r:embed="rId35"/>
                    <a:stretch>
                      <a:fillRect/>
                    </a:stretch>
                  </pic:blipFill>
                  <pic:spPr>
                    <a:xfrm>
                      <a:off x="0" y="0"/>
                      <a:ext cx="6296025" cy="3328670"/>
                    </a:xfrm>
                    <a:prstGeom prst="rect">
                      <a:avLst/>
                    </a:prstGeom>
                  </pic:spPr>
                </pic:pic>
              </a:graphicData>
            </a:graphic>
          </wp:inline>
        </w:drawing>
      </w:r>
    </w:p>
    <w:p w14:paraId="24BDA999" w14:textId="13080D4A" w:rsidR="00F65D98" w:rsidRPr="00FA5900" w:rsidRDefault="0069106B" w:rsidP="00FA5900">
      <w:pPr>
        <w:jc w:val="center"/>
        <w:rPr>
          <w:rFonts w:asciiTheme="minorBidi" w:hAnsiTheme="minorBidi"/>
          <w:b/>
          <w:bCs/>
        </w:rPr>
      </w:pPr>
      <w:r>
        <w:rPr>
          <w:rFonts w:asciiTheme="minorBidi" w:hAnsiTheme="minorBidi"/>
          <w:b/>
          <w:bCs/>
        </w:rPr>
        <w:t>I</w:t>
      </w:r>
      <w:r w:rsidR="00F65D98" w:rsidRPr="00FA5900">
        <w:rPr>
          <w:rFonts w:asciiTheme="minorBidi" w:hAnsiTheme="minorBidi"/>
          <w:b/>
          <w:bCs/>
        </w:rPr>
        <w:t xml:space="preserve">llustrative </w:t>
      </w:r>
      <w:r>
        <w:rPr>
          <w:rFonts w:asciiTheme="minorBidi" w:hAnsiTheme="minorBidi"/>
          <w:b/>
          <w:bCs/>
        </w:rPr>
        <w:t>diagram</w:t>
      </w:r>
      <w:r w:rsidR="00F65D98" w:rsidRPr="00FA5900">
        <w:rPr>
          <w:rFonts w:asciiTheme="minorBidi" w:hAnsiTheme="minorBidi"/>
          <w:b/>
          <w:bCs/>
        </w:rPr>
        <w:t xml:space="preserve"> intended to explain the mitigation approach in </w:t>
      </w:r>
      <w:r w:rsidR="000C54FC">
        <w:rPr>
          <w:rFonts w:asciiTheme="minorBidi" w:hAnsiTheme="minorBidi"/>
          <w:b/>
          <w:bCs/>
        </w:rPr>
        <w:t>concise</w:t>
      </w:r>
      <w:r w:rsidR="00F65D98" w:rsidRPr="00FA5900">
        <w:rPr>
          <w:rFonts w:asciiTheme="minorBidi" w:hAnsiTheme="minorBidi"/>
          <w:b/>
          <w:bCs/>
        </w:rPr>
        <w:t xml:space="preserve"> terms</w:t>
      </w:r>
    </w:p>
    <w:p w14:paraId="6ECA3ACD" w14:textId="269011D4" w:rsidR="005C4431" w:rsidRPr="00FA5900" w:rsidRDefault="005C4431" w:rsidP="00FA5900"/>
    <w:p w14:paraId="2B5DE7B6" w14:textId="5CC09079" w:rsidR="005A6772" w:rsidRPr="00155C3A" w:rsidRDefault="005A6772" w:rsidP="00C16E23">
      <w:pPr>
        <w:pStyle w:val="Heading2"/>
        <w:ind w:left="680" w:hanging="680"/>
        <w:rPr>
          <w:rFonts w:ascii="Arial" w:hAnsi="Arial" w:cs="Arial"/>
        </w:rPr>
      </w:pPr>
      <w:bookmarkStart w:id="41" w:name="_Toc229650187"/>
      <w:r w:rsidRPr="00155C3A">
        <w:rPr>
          <w:rFonts w:ascii="Arial" w:hAnsi="Arial" w:cs="Arial"/>
        </w:rPr>
        <w:t>Social context</w:t>
      </w:r>
      <w:bookmarkEnd w:id="39"/>
      <w:bookmarkEnd w:id="41"/>
    </w:p>
    <w:tbl>
      <w:tblPr>
        <w:tblStyle w:val="ListTable3-Accent4"/>
        <w:tblW w:w="0" w:type="auto"/>
        <w:tblLook w:val="04A0" w:firstRow="1" w:lastRow="0" w:firstColumn="1" w:lastColumn="0" w:noHBand="0" w:noVBand="1"/>
      </w:tblPr>
      <w:tblGrid>
        <w:gridCol w:w="2263"/>
        <w:gridCol w:w="7642"/>
      </w:tblGrid>
      <w:tr w:rsidR="00BA4B57" w:rsidRPr="00155C3A" w14:paraId="7AAA96DA" w14:textId="77777777" w:rsidTr="00550D3B">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263" w:type="dxa"/>
          </w:tcPr>
          <w:p w14:paraId="207797D2" w14:textId="77777777" w:rsidR="00BA4B57" w:rsidRPr="00155C3A" w:rsidRDefault="00BA4B57" w:rsidP="00F62FAF">
            <w:pPr>
              <w:spacing w:before="40" w:after="140"/>
              <w:jc w:val="both"/>
              <w:rPr>
                <w:rFonts w:ascii="Arial" w:hAnsi="Arial" w:cs="Arial"/>
              </w:rPr>
            </w:pPr>
            <w:r w:rsidRPr="00155C3A">
              <w:rPr>
                <w:rFonts w:ascii="Arial" w:hAnsi="Arial" w:cs="Arial"/>
              </w:rPr>
              <w:t>Component</w:t>
            </w:r>
          </w:p>
        </w:tc>
        <w:tc>
          <w:tcPr>
            <w:tcW w:w="7642" w:type="dxa"/>
          </w:tcPr>
          <w:p w14:paraId="27080B6A" w14:textId="77777777" w:rsidR="00BA4B57" w:rsidRPr="00155C3A" w:rsidRDefault="00BA4B57" w:rsidP="00F62FAF">
            <w:pPr>
              <w:spacing w:before="40" w:after="14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Description</w:t>
            </w:r>
          </w:p>
        </w:tc>
      </w:tr>
      <w:tr w:rsidR="00BA4B57" w:rsidRPr="00155C3A" w14:paraId="6E11B989" w14:textId="77777777" w:rsidTr="00550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7D6A35FB" w14:textId="064E9A13" w:rsidR="00BA4B57" w:rsidRPr="00155C3A" w:rsidRDefault="00FA5245" w:rsidP="00F62FAF">
            <w:pPr>
              <w:spacing w:before="40" w:after="140"/>
              <w:rPr>
                <w:rFonts w:ascii="Arial" w:hAnsi="Arial" w:cs="Arial"/>
              </w:rPr>
            </w:pPr>
            <w:r w:rsidRPr="00155C3A">
              <w:rPr>
                <w:rFonts w:ascii="Arial" w:hAnsi="Arial" w:cs="Arial"/>
              </w:rPr>
              <w:t>Socio-economic context</w:t>
            </w:r>
          </w:p>
        </w:tc>
        <w:tc>
          <w:tcPr>
            <w:tcW w:w="7642" w:type="dxa"/>
          </w:tcPr>
          <w:p w14:paraId="16D2A6DA" w14:textId="77777777" w:rsidR="00FA5245" w:rsidRPr="00155C3A" w:rsidRDefault="00FA5245" w:rsidP="00F62FAF">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The land plots required by the Project belong to the administrative territorial unit of </w:t>
            </w:r>
            <w:proofErr w:type="spellStart"/>
            <w:r w:rsidRPr="00155C3A">
              <w:rPr>
                <w:rFonts w:ascii="Arial" w:hAnsi="Arial" w:cs="Arial"/>
              </w:rPr>
              <w:t>Deleni</w:t>
            </w:r>
            <w:proofErr w:type="spellEnd"/>
            <w:r w:rsidRPr="00155C3A">
              <w:rPr>
                <w:rFonts w:ascii="Arial" w:hAnsi="Arial" w:cs="Arial"/>
              </w:rPr>
              <w:t xml:space="preserve"> Commune, which is part of Constanța County in Romania’s South-East Development Region. The plots are primarily privately owned arable land (about 95%), with a smaller portion of pasture and communal roads under the ownership of the </w:t>
            </w:r>
            <w:proofErr w:type="spellStart"/>
            <w:r w:rsidRPr="00155C3A">
              <w:rPr>
                <w:rFonts w:ascii="Arial" w:hAnsi="Arial" w:cs="Arial"/>
              </w:rPr>
              <w:t>Deleni</w:t>
            </w:r>
            <w:proofErr w:type="spellEnd"/>
            <w:r w:rsidRPr="00155C3A">
              <w:rPr>
                <w:rFonts w:ascii="Arial" w:hAnsi="Arial" w:cs="Arial"/>
              </w:rPr>
              <w:t xml:space="preserve"> Local Council.</w:t>
            </w:r>
          </w:p>
          <w:p w14:paraId="2A57C9AC" w14:textId="77777777" w:rsidR="00FA5245" w:rsidRPr="00155C3A" w:rsidRDefault="00FA5245" w:rsidP="00F62FAF">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The settlements located within the 2 km buffer include: </w:t>
            </w:r>
            <w:proofErr w:type="spellStart"/>
            <w:r w:rsidRPr="00155C3A">
              <w:rPr>
                <w:rFonts w:ascii="Arial" w:hAnsi="Arial" w:cs="Arial"/>
              </w:rPr>
              <w:t>Deleni</w:t>
            </w:r>
            <w:proofErr w:type="spellEnd"/>
            <w:r w:rsidRPr="00155C3A">
              <w:rPr>
                <w:rFonts w:ascii="Arial" w:hAnsi="Arial" w:cs="Arial"/>
              </w:rPr>
              <w:t xml:space="preserve"> (administrative center of the commune), </w:t>
            </w:r>
            <w:proofErr w:type="spellStart"/>
            <w:r w:rsidRPr="00155C3A">
              <w:rPr>
                <w:rFonts w:ascii="Arial" w:hAnsi="Arial" w:cs="Arial"/>
              </w:rPr>
              <w:t>Petroșani</w:t>
            </w:r>
            <w:proofErr w:type="spellEnd"/>
            <w:r w:rsidRPr="00155C3A">
              <w:rPr>
                <w:rFonts w:ascii="Arial" w:hAnsi="Arial" w:cs="Arial"/>
              </w:rPr>
              <w:t xml:space="preserve">, </w:t>
            </w:r>
            <w:proofErr w:type="spellStart"/>
            <w:r w:rsidRPr="00155C3A">
              <w:rPr>
                <w:rFonts w:ascii="Arial" w:hAnsi="Arial" w:cs="Arial"/>
              </w:rPr>
              <w:t>Pietreni</w:t>
            </w:r>
            <w:proofErr w:type="spellEnd"/>
            <w:r w:rsidRPr="00155C3A">
              <w:rPr>
                <w:rFonts w:ascii="Arial" w:hAnsi="Arial" w:cs="Arial"/>
              </w:rPr>
              <w:t xml:space="preserve"> and </w:t>
            </w:r>
            <w:proofErr w:type="spellStart"/>
            <w:r w:rsidRPr="00155C3A">
              <w:rPr>
                <w:rFonts w:ascii="Arial" w:hAnsi="Arial" w:cs="Arial"/>
              </w:rPr>
              <w:t>Șipotele</w:t>
            </w:r>
            <w:proofErr w:type="spellEnd"/>
            <w:r w:rsidRPr="00155C3A">
              <w:rPr>
                <w:rFonts w:ascii="Arial" w:hAnsi="Arial" w:cs="Arial"/>
              </w:rPr>
              <w:t>. These are small rural villages with dispersed housing patterns, agricultural land use, and limited infrastructure. Therefore, residences within 2 km of certain turbines may experience temporary impacts during construction and Long-term operational impacts.</w:t>
            </w:r>
          </w:p>
          <w:p w14:paraId="6EA5EA12" w14:textId="7FDAE36F" w:rsidR="00BA4B57" w:rsidRPr="00155C3A" w:rsidRDefault="00FA5245" w:rsidP="00F62FAF">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The local economy of </w:t>
            </w:r>
            <w:proofErr w:type="spellStart"/>
            <w:r w:rsidRPr="00155C3A">
              <w:rPr>
                <w:rFonts w:ascii="Arial" w:hAnsi="Arial" w:cs="Arial"/>
              </w:rPr>
              <w:t>Deleni</w:t>
            </w:r>
            <w:proofErr w:type="spellEnd"/>
            <w:r w:rsidRPr="00155C3A">
              <w:rPr>
                <w:rFonts w:ascii="Arial" w:hAnsi="Arial" w:cs="Arial"/>
              </w:rPr>
              <w:t xml:space="preserve"> Commune is primarily based on agriculture, with most households relying on crop cultivation, livestock husbandry, and small-scale farming for subsistence and income. The construction and operation of the </w:t>
            </w:r>
            <w:proofErr w:type="spellStart"/>
            <w:r w:rsidRPr="00155C3A">
              <w:rPr>
                <w:rFonts w:ascii="Arial" w:hAnsi="Arial" w:cs="Arial"/>
              </w:rPr>
              <w:t>Dunarea</w:t>
            </w:r>
            <w:proofErr w:type="spellEnd"/>
            <w:r w:rsidRPr="00155C3A">
              <w:rPr>
                <w:rFonts w:ascii="Arial" w:hAnsi="Arial" w:cs="Arial"/>
              </w:rPr>
              <w:t xml:space="preserve"> Wind Farm are expected to positively influence this rural economy by creating short-term employment opportunities, stimulating local services such as transport and supply chains, and improving road infrastructure through reinforcement works, which can facilitate better market access for agricultural products. Importantly, the project does not involve physical displacement and is unlikely to disrupt existing farming activities, </w:t>
            </w:r>
            <w:r w:rsidRPr="00155C3A">
              <w:rPr>
                <w:rFonts w:ascii="Arial" w:hAnsi="Arial" w:cs="Arial"/>
              </w:rPr>
              <w:lastRenderedPageBreak/>
              <w:t>meaning that while it introduces new economic benefits, it does so without significant adverse socio-economic effects on the community’s primary livelihood.</w:t>
            </w:r>
          </w:p>
        </w:tc>
      </w:tr>
      <w:tr w:rsidR="00BA4B57" w:rsidRPr="00155C3A" w14:paraId="73B18A0C" w14:textId="77777777" w:rsidTr="00550D3B">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3907A67E" w14:textId="7380B553" w:rsidR="00BA4B57" w:rsidRPr="00155C3A" w:rsidRDefault="00FA5245" w:rsidP="00F62FAF">
            <w:pPr>
              <w:spacing w:before="40" w:after="140"/>
              <w:rPr>
                <w:rFonts w:ascii="Arial" w:hAnsi="Arial" w:cs="Arial"/>
              </w:rPr>
            </w:pPr>
            <w:r w:rsidRPr="00155C3A">
              <w:rPr>
                <w:rFonts w:ascii="Arial" w:hAnsi="Arial" w:cs="Arial"/>
              </w:rPr>
              <w:lastRenderedPageBreak/>
              <w:t>Archaeology and Cultural Heritage</w:t>
            </w:r>
          </w:p>
        </w:tc>
        <w:tc>
          <w:tcPr>
            <w:tcW w:w="7642" w:type="dxa"/>
          </w:tcPr>
          <w:p w14:paraId="758B1500" w14:textId="30C102F4" w:rsidR="00BA4B57" w:rsidRPr="00155C3A" w:rsidRDefault="00FA5245" w:rsidP="00F62FAF">
            <w:pPr>
              <w:pStyle w:val="BodyText"/>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The archaeological baseline confirms that the Project area is located within a landscape of high archaeological sensitivity, </w:t>
            </w:r>
            <w:proofErr w:type="spellStart"/>
            <w:r w:rsidRPr="00155C3A">
              <w:rPr>
                <w:rFonts w:ascii="Arial" w:hAnsi="Arial" w:cs="Arial"/>
              </w:rPr>
              <w:t>characterised</w:t>
            </w:r>
            <w:proofErr w:type="spellEnd"/>
            <w:r w:rsidRPr="00155C3A">
              <w:rPr>
                <w:rFonts w:ascii="Arial" w:hAnsi="Arial" w:cs="Arial"/>
              </w:rPr>
              <w:t xml:space="preserve"> by a long and continuous history of human occupation from prehistory to the modern period. Desktop studies and national inventories identified numerous recorded sites, including tumuli, settlements and Roman infrastructure, which were further investigated through a staged </w:t>
            </w:r>
            <w:proofErr w:type="spellStart"/>
            <w:r w:rsidRPr="00155C3A">
              <w:rPr>
                <w:rFonts w:ascii="Arial" w:hAnsi="Arial" w:cs="Arial"/>
              </w:rPr>
              <w:t>programme</w:t>
            </w:r>
            <w:proofErr w:type="spellEnd"/>
            <w:r w:rsidRPr="00155C3A">
              <w:rPr>
                <w:rFonts w:ascii="Arial" w:hAnsi="Arial" w:cs="Arial"/>
              </w:rPr>
              <w:t xml:space="preserve"> of field surveys, intrusive diagnostics and preventive excavations carried out between 2022 and 2025. These investigations confirmed the presence of Bronze Age funerary monuments, Roman settlements and road systems, Early Medieval reuse, and First World War defensive features, while also verifying the absence of remains in several planned infrastructure locations. The results enabled refinement of archaeological constraints, </w:t>
            </w:r>
            <w:proofErr w:type="spellStart"/>
            <w:r w:rsidRPr="00155C3A">
              <w:rPr>
                <w:rFonts w:ascii="Arial" w:hAnsi="Arial" w:cs="Arial"/>
              </w:rPr>
              <w:t>optimisation</w:t>
            </w:r>
            <w:proofErr w:type="spellEnd"/>
            <w:r w:rsidRPr="00155C3A">
              <w:rPr>
                <w:rFonts w:ascii="Arial" w:hAnsi="Arial" w:cs="Arial"/>
              </w:rPr>
              <w:t xml:space="preserve"> of the Project layout and the issuance of archaeological discharge certificates for investigated areas.</w:t>
            </w:r>
          </w:p>
        </w:tc>
      </w:tr>
    </w:tbl>
    <w:p w14:paraId="569820A3" w14:textId="0F672074" w:rsidR="00010BA0" w:rsidRPr="00155C3A" w:rsidRDefault="0025687E" w:rsidP="004B6B4B">
      <w:pPr>
        <w:pStyle w:val="Heading1"/>
        <w:ind w:left="454" w:hanging="454"/>
        <w:rPr>
          <w:rFonts w:ascii="Arial" w:hAnsi="Arial" w:cs="Arial"/>
        </w:rPr>
      </w:pPr>
      <w:bookmarkStart w:id="42" w:name="_Toc229489996"/>
      <w:bookmarkStart w:id="43" w:name="_Toc229650188"/>
      <w:r w:rsidRPr="00155C3A">
        <w:rPr>
          <w:rFonts w:ascii="Arial" w:hAnsi="Arial" w:cs="Arial"/>
        </w:rPr>
        <w:t>E</w:t>
      </w:r>
      <w:r w:rsidR="002547C6" w:rsidRPr="00155C3A">
        <w:rPr>
          <w:rFonts w:ascii="Arial" w:hAnsi="Arial" w:cs="Arial"/>
        </w:rPr>
        <w:t>nvironmental</w:t>
      </w:r>
      <w:r w:rsidRPr="00155C3A">
        <w:rPr>
          <w:rFonts w:ascii="Arial" w:hAnsi="Arial" w:cs="Arial"/>
        </w:rPr>
        <w:t xml:space="preserve"> </w:t>
      </w:r>
      <w:r w:rsidR="002547C6">
        <w:rPr>
          <w:rFonts w:ascii="Arial" w:hAnsi="Arial" w:cs="Arial"/>
        </w:rPr>
        <w:t>and</w:t>
      </w:r>
      <w:r w:rsidRPr="00155C3A">
        <w:rPr>
          <w:rFonts w:ascii="Arial" w:hAnsi="Arial" w:cs="Arial"/>
        </w:rPr>
        <w:t xml:space="preserve"> S</w:t>
      </w:r>
      <w:r w:rsidR="002547C6">
        <w:rPr>
          <w:rFonts w:ascii="Arial" w:hAnsi="Arial" w:cs="Arial"/>
        </w:rPr>
        <w:t>ocial</w:t>
      </w:r>
      <w:r w:rsidRPr="00155C3A">
        <w:rPr>
          <w:rFonts w:ascii="Arial" w:hAnsi="Arial" w:cs="Arial"/>
        </w:rPr>
        <w:t xml:space="preserve"> </w:t>
      </w:r>
      <w:r w:rsidR="00010BA0" w:rsidRPr="00155C3A">
        <w:rPr>
          <w:rFonts w:ascii="Arial" w:hAnsi="Arial" w:cs="Arial"/>
        </w:rPr>
        <w:t>Imp</w:t>
      </w:r>
      <w:r w:rsidR="0095531A" w:rsidRPr="00155C3A">
        <w:rPr>
          <w:rFonts w:ascii="Arial" w:hAnsi="Arial" w:cs="Arial"/>
        </w:rPr>
        <w:t>a</w:t>
      </w:r>
      <w:r w:rsidR="00010BA0" w:rsidRPr="00155C3A">
        <w:rPr>
          <w:rFonts w:ascii="Arial" w:hAnsi="Arial" w:cs="Arial"/>
        </w:rPr>
        <w:t>ct Assessment</w:t>
      </w:r>
      <w:bookmarkEnd w:id="42"/>
      <w:bookmarkEnd w:id="43"/>
      <w:r w:rsidR="00010BA0" w:rsidRPr="00155C3A">
        <w:rPr>
          <w:rFonts w:ascii="Arial" w:hAnsi="Arial" w:cs="Arial"/>
        </w:rPr>
        <w:t xml:space="preserve"> </w:t>
      </w:r>
    </w:p>
    <w:p w14:paraId="5D0E186D" w14:textId="0254B240" w:rsidR="00DA17A3" w:rsidRPr="00155C3A" w:rsidRDefault="00BD69E3" w:rsidP="00DA17A3">
      <w:pPr>
        <w:pStyle w:val="BodyText"/>
        <w:rPr>
          <w:rFonts w:ascii="Arial" w:hAnsi="Arial" w:cs="Arial"/>
        </w:rPr>
      </w:pPr>
      <w:r w:rsidRPr="00155C3A">
        <w:rPr>
          <w:rFonts w:ascii="Arial" w:hAnsi="Arial" w:cs="Arial"/>
        </w:rPr>
        <w:t>The ESIA and all related documents prepared for the Project assessed potential impacts during construction, operation and decommissioning and defined appropriate mitigation measures whenever needed. With the implementation of such mitigation and management measures, residual impacts are generally expected to be minor or negligible</w:t>
      </w:r>
      <w:r w:rsidR="00DA17A3" w:rsidRPr="00155C3A">
        <w:rPr>
          <w:rFonts w:ascii="Arial" w:hAnsi="Arial" w:cs="Arial"/>
        </w:rPr>
        <w:t xml:space="preserve">, </w:t>
      </w:r>
      <w:r w:rsidR="002547C6" w:rsidRPr="00155C3A">
        <w:rPr>
          <w:rFonts w:ascii="Arial" w:hAnsi="Arial" w:cs="Arial"/>
        </w:rPr>
        <w:t>except for</w:t>
      </w:r>
      <w:r w:rsidR="00DA17A3" w:rsidRPr="00155C3A">
        <w:rPr>
          <w:rFonts w:ascii="Arial" w:hAnsi="Arial" w:cs="Arial"/>
        </w:rPr>
        <w:t xml:space="preserve"> three (3) impact areas which retain </w:t>
      </w:r>
      <w:r w:rsidR="00DA17A3" w:rsidRPr="00155C3A">
        <w:rPr>
          <w:rFonts w:ascii="Arial" w:hAnsi="Arial" w:cs="Arial"/>
          <w:b/>
          <w:bCs/>
        </w:rPr>
        <w:t>moderate residual significance</w:t>
      </w:r>
      <w:r w:rsidR="00DA17A3" w:rsidRPr="00155C3A">
        <w:rPr>
          <w:rFonts w:ascii="Arial" w:hAnsi="Arial" w:cs="Arial"/>
        </w:rPr>
        <w:t>, despite the application of mitigations:</w:t>
      </w:r>
    </w:p>
    <w:p w14:paraId="00CBF4EE" w14:textId="77777777" w:rsidR="00DA17A3" w:rsidRPr="00155C3A" w:rsidRDefault="00DA17A3" w:rsidP="000A0BF0">
      <w:pPr>
        <w:pStyle w:val="BodyText"/>
        <w:numPr>
          <w:ilvl w:val="0"/>
          <w:numId w:val="22"/>
        </w:numPr>
        <w:rPr>
          <w:rFonts w:ascii="Arial" w:hAnsi="Arial" w:cs="Arial"/>
        </w:rPr>
      </w:pPr>
      <w:r w:rsidRPr="00155C3A">
        <w:rPr>
          <w:rFonts w:ascii="Arial" w:hAnsi="Arial" w:cs="Arial"/>
        </w:rPr>
        <w:t xml:space="preserve">Community exposure to security-related risks affecting Vulnerable and Disadvantaged Groups, due to the presence of non-local workers during both construction and operational phases (residual significance: </w:t>
      </w:r>
      <w:r w:rsidRPr="00155C3A">
        <w:rPr>
          <w:rFonts w:ascii="Arial" w:hAnsi="Arial" w:cs="Arial"/>
          <w:i/>
          <w:iCs/>
        </w:rPr>
        <w:t>moderate</w:t>
      </w:r>
      <w:r w:rsidRPr="00155C3A">
        <w:rPr>
          <w:rFonts w:ascii="Arial" w:hAnsi="Arial" w:cs="Arial"/>
        </w:rPr>
        <w:t>).</w:t>
      </w:r>
    </w:p>
    <w:p w14:paraId="2B7FEE15" w14:textId="77777777" w:rsidR="00DA17A3" w:rsidRPr="00155C3A" w:rsidRDefault="00DA17A3" w:rsidP="000A0BF0">
      <w:pPr>
        <w:pStyle w:val="BodyText"/>
        <w:numPr>
          <w:ilvl w:val="0"/>
          <w:numId w:val="22"/>
        </w:numPr>
        <w:rPr>
          <w:rFonts w:ascii="Arial" w:hAnsi="Arial" w:cs="Arial"/>
        </w:rPr>
      </w:pPr>
      <w:r w:rsidRPr="00155C3A">
        <w:rPr>
          <w:rFonts w:ascii="Arial" w:hAnsi="Arial" w:cs="Arial"/>
        </w:rPr>
        <w:t xml:space="preserve">Potential direct physical impacts on cultural heritage, associated with ground disturbance during construction (residual significance: </w:t>
      </w:r>
      <w:r w:rsidRPr="00155C3A">
        <w:rPr>
          <w:rFonts w:ascii="Arial" w:hAnsi="Arial" w:cs="Arial"/>
          <w:i/>
          <w:iCs/>
        </w:rPr>
        <w:t>moderate</w:t>
      </w:r>
      <w:r w:rsidRPr="00155C3A">
        <w:rPr>
          <w:rFonts w:ascii="Arial" w:hAnsi="Arial" w:cs="Arial"/>
        </w:rPr>
        <w:t>).</w:t>
      </w:r>
    </w:p>
    <w:p w14:paraId="65DD6821" w14:textId="77777777" w:rsidR="00DA17A3" w:rsidRPr="00155C3A" w:rsidRDefault="00DA17A3" w:rsidP="000A0BF0">
      <w:pPr>
        <w:pStyle w:val="BodyText"/>
        <w:numPr>
          <w:ilvl w:val="0"/>
          <w:numId w:val="22"/>
        </w:numPr>
        <w:rPr>
          <w:rFonts w:ascii="Arial" w:hAnsi="Arial" w:cs="Arial"/>
        </w:rPr>
      </w:pPr>
      <w:r w:rsidRPr="00155C3A">
        <w:rPr>
          <w:rFonts w:ascii="Arial" w:hAnsi="Arial" w:cs="Arial"/>
        </w:rPr>
        <w:t xml:space="preserve">Potential mortality of birds and bats due to collision with wind turbines (residual significance: </w:t>
      </w:r>
      <w:r w:rsidRPr="00155C3A">
        <w:rPr>
          <w:rFonts w:ascii="Arial" w:hAnsi="Arial" w:cs="Arial"/>
          <w:i/>
          <w:iCs/>
        </w:rPr>
        <w:t>moderate</w:t>
      </w:r>
      <w:r w:rsidRPr="00155C3A">
        <w:rPr>
          <w:rFonts w:ascii="Arial" w:hAnsi="Arial" w:cs="Arial"/>
        </w:rPr>
        <w:t>).</w:t>
      </w:r>
    </w:p>
    <w:p w14:paraId="1D64287E" w14:textId="77777777" w:rsidR="00F62FAF" w:rsidRPr="00155C3A" w:rsidRDefault="00DA17A3" w:rsidP="00BD69E3">
      <w:pPr>
        <w:pStyle w:val="BodyText"/>
        <w:rPr>
          <w:rFonts w:ascii="Arial" w:hAnsi="Arial" w:cs="Arial"/>
        </w:rPr>
      </w:pPr>
      <w:r w:rsidRPr="00155C3A">
        <w:rPr>
          <w:rFonts w:ascii="Arial" w:hAnsi="Arial" w:cs="Arial"/>
        </w:rPr>
        <w:t>In such cases, the residual magnitude of impact is reduced following mitigation. The remaining moderate significance is driven by the high sensitivity of the affected receptors, which is consistent with IFC/EBRD significance methodologies. These impacts are addressed through targeted management plans (as outlined in the ESMP), which ensure that risks remain controlled, monitored and capable of further reduction through adaptive management.</w:t>
      </w:r>
      <w:r w:rsidR="00F62FAF" w:rsidRPr="00155C3A">
        <w:rPr>
          <w:rFonts w:ascii="Arial" w:hAnsi="Arial" w:cs="Arial"/>
        </w:rPr>
        <w:t xml:space="preserve"> </w:t>
      </w:r>
    </w:p>
    <w:p w14:paraId="67FA36F5" w14:textId="10F8370A" w:rsidR="00BD69E3" w:rsidRPr="00155C3A" w:rsidRDefault="009F553A" w:rsidP="00BD69E3">
      <w:pPr>
        <w:pStyle w:val="BodyText"/>
        <w:rPr>
          <w:rFonts w:ascii="Arial" w:hAnsi="Arial" w:cs="Arial"/>
        </w:rPr>
      </w:pPr>
      <w:r w:rsidRPr="00155C3A">
        <w:rPr>
          <w:rFonts w:ascii="Arial" w:hAnsi="Arial" w:cs="Arial"/>
        </w:rPr>
        <w:t>The table below presents the environmental and social impacts identified as having medium or high significance, together with the corresponding mitigation measures applied and the resulting residual significance after mitigation.</w:t>
      </w:r>
    </w:p>
    <w:p w14:paraId="333D08A5" w14:textId="0DC62D3E" w:rsidR="00DA496D" w:rsidRPr="00155C3A" w:rsidRDefault="0051758A" w:rsidP="00DA496D">
      <w:pPr>
        <w:pStyle w:val="BodyText"/>
        <w:rPr>
          <w:rFonts w:ascii="Arial" w:hAnsi="Arial" w:cs="Arial"/>
        </w:rPr>
      </w:pPr>
      <w:r w:rsidRPr="00155C3A">
        <w:rPr>
          <w:rFonts w:ascii="Arial" w:hAnsi="Arial" w:cs="Arial"/>
        </w:rPr>
        <w:lastRenderedPageBreak/>
        <w:t xml:space="preserve">Impacts associated with the decommissioning phase are expected to be generally low and remain at acceptable levels, with mitigation measures largely </w:t>
      </w:r>
      <w:proofErr w:type="gramStart"/>
      <w:r w:rsidRPr="00155C3A">
        <w:rPr>
          <w:rFonts w:ascii="Arial" w:hAnsi="Arial" w:cs="Arial"/>
        </w:rPr>
        <w:t>similar to</w:t>
      </w:r>
      <w:proofErr w:type="gramEnd"/>
      <w:r w:rsidRPr="00155C3A">
        <w:rPr>
          <w:rFonts w:ascii="Arial" w:hAnsi="Arial" w:cs="Arial"/>
        </w:rPr>
        <w:t xml:space="preserve"> those applied during the construction phase; therefore, they are not presented in detail in this NTS.</w:t>
      </w:r>
    </w:p>
    <w:p w14:paraId="52002931" w14:textId="77777777" w:rsidR="004F6C54" w:rsidRPr="00155C3A" w:rsidRDefault="004F6C54" w:rsidP="00DA496D">
      <w:pPr>
        <w:pStyle w:val="BodyText"/>
        <w:rPr>
          <w:rFonts w:ascii="Arial" w:hAnsi="Arial" w:cs="Arial"/>
          <w:highlight w:val="yellow"/>
        </w:rPr>
      </w:pPr>
    </w:p>
    <w:tbl>
      <w:tblPr>
        <w:tblStyle w:val="ListTable3-Accent11"/>
        <w:tblpPr w:leftFromText="141" w:rightFromText="141" w:vertAnchor="text" w:tblpY="1"/>
        <w:tblOverlap w:val="never"/>
        <w:tblW w:w="0" w:type="auto"/>
        <w:tblBorders>
          <w:top w:val="single" w:sz="4" w:space="0" w:color="4E8542" w:themeColor="accent4"/>
          <w:left w:val="single" w:sz="4" w:space="0" w:color="4E8542" w:themeColor="accent4"/>
          <w:bottom w:val="single" w:sz="4" w:space="0" w:color="4E8542" w:themeColor="accent4"/>
          <w:right w:val="single" w:sz="4" w:space="0" w:color="4E8542" w:themeColor="accent4"/>
          <w:insideH w:val="single" w:sz="4" w:space="0" w:color="4E8542" w:themeColor="accent4"/>
          <w:insideV w:val="single" w:sz="4" w:space="0" w:color="4E8542" w:themeColor="accent4"/>
        </w:tblBorders>
        <w:tblLook w:val="04A0" w:firstRow="1" w:lastRow="0" w:firstColumn="1" w:lastColumn="0" w:noHBand="0" w:noVBand="1"/>
      </w:tblPr>
      <w:tblGrid>
        <w:gridCol w:w="1606"/>
        <w:gridCol w:w="2155"/>
        <w:gridCol w:w="1397"/>
        <w:gridCol w:w="3508"/>
        <w:gridCol w:w="1239"/>
      </w:tblGrid>
      <w:tr w:rsidR="00D0687B" w:rsidRPr="00155C3A" w14:paraId="35FDD718" w14:textId="77777777" w:rsidTr="000C47D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shd w:val="clear" w:color="auto" w:fill="4E8542" w:themeFill="accent4"/>
            <w:vAlign w:val="center"/>
          </w:tcPr>
          <w:p w14:paraId="68B24912" w14:textId="77777777" w:rsidR="00D0687B" w:rsidRPr="00155C3A" w:rsidRDefault="00D0687B" w:rsidP="000C47D7">
            <w:pPr>
              <w:jc w:val="center"/>
              <w:rPr>
                <w:rFonts w:ascii="Arial" w:hAnsi="Arial" w:cs="Arial"/>
                <w:sz w:val="16"/>
                <w:szCs w:val="16"/>
              </w:rPr>
            </w:pPr>
            <w:r w:rsidRPr="00155C3A">
              <w:rPr>
                <w:rFonts w:ascii="Arial" w:hAnsi="Arial" w:cs="Arial"/>
                <w:sz w:val="16"/>
                <w:szCs w:val="16"/>
              </w:rPr>
              <w:t>Aspect</w:t>
            </w:r>
          </w:p>
        </w:tc>
        <w:tc>
          <w:tcPr>
            <w:tcW w:w="0" w:type="auto"/>
            <w:shd w:val="clear" w:color="auto" w:fill="4E8542" w:themeFill="accent4"/>
            <w:vAlign w:val="center"/>
          </w:tcPr>
          <w:p w14:paraId="1AAA30DA" w14:textId="77777777" w:rsidR="00D0687B" w:rsidRPr="00155C3A"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Impact</w:t>
            </w:r>
          </w:p>
        </w:tc>
        <w:tc>
          <w:tcPr>
            <w:tcW w:w="0" w:type="auto"/>
            <w:shd w:val="clear" w:color="auto" w:fill="4E8542" w:themeFill="accent4"/>
            <w:vAlign w:val="center"/>
          </w:tcPr>
          <w:p w14:paraId="0E20D199" w14:textId="77777777" w:rsidR="00D0687B" w:rsidRPr="00155C3A"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Receptor</w:t>
            </w:r>
          </w:p>
        </w:tc>
        <w:tc>
          <w:tcPr>
            <w:tcW w:w="0" w:type="auto"/>
            <w:shd w:val="clear" w:color="auto" w:fill="4E8542" w:themeFill="accent4"/>
            <w:vAlign w:val="center"/>
          </w:tcPr>
          <w:p w14:paraId="3FC92815" w14:textId="5D3D371F" w:rsidR="00D0687B" w:rsidRPr="00155C3A"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Mitigation Measures</w:t>
            </w:r>
          </w:p>
        </w:tc>
        <w:tc>
          <w:tcPr>
            <w:tcW w:w="0" w:type="auto"/>
            <w:shd w:val="clear" w:color="auto" w:fill="4E8542" w:themeFill="accent4"/>
            <w:vAlign w:val="center"/>
          </w:tcPr>
          <w:p w14:paraId="2A450C83" w14:textId="22FF861F" w:rsidR="00D0687B" w:rsidRPr="00155C3A"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Significance after mitigation</w:t>
            </w:r>
          </w:p>
        </w:tc>
      </w:tr>
      <w:tr w:rsidR="000C47D7" w:rsidRPr="00155C3A" w14:paraId="59D87E3A" w14:textId="77777777" w:rsidTr="000C47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323232" w:themeFill="text2"/>
            <w:vAlign w:val="center"/>
          </w:tcPr>
          <w:p w14:paraId="798AB897" w14:textId="08E0B01D" w:rsidR="000C47D7" w:rsidRPr="00155C3A" w:rsidRDefault="000C47D7" w:rsidP="000C47D7">
            <w:pPr>
              <w:jc w:val="center"/>
              <w:rPr>
                <w:rFonts w:ascii="Arial" w:hAnsi="Arial" w:cs="Arial"/>
                <w:bCs w:val="0"/>
                <w:sz w:val="16"/>
                <w:szCs w:val="16"/>
              </w:rPr>
            </w:pPr>
            <w:r w:rsidRPr="00155C3A">
              <w:rPr>
                <w:rFonts w:ascii="Arial" w:hAnsi="Arial" w:cs="Arial"/>
                <w:bCs w:val="0"/>
                <w:sz w:val="16"/>
                <w:szCs w:val="16"/>
              </w:rPr>
              <w:t>Construction Phase</w:t>
            </w:r>
          </w:p>
        </w:tc>
      </w:tr>
      <w:tr w:rsidR="00A54BB0" w:rsidRPr="00155C3A" w14:paraId="1C75FE9A" w14:textId="77777777" w:rsidTr="000C47D7">
        <w:trPr>
          <w:trHeight w:val="414"/>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D4187E7" w14:textId="77777777" w:rsidR="00A54BB0" w:rsidRPr="00155C3A" w:rsidRDefault="00A54BB0" w:rsidP="000C47D7">
            <w:pPr>
              <w:rPr>
                <w:rFonts w:ascii="Arial" w:hAnsi="Arial" w:cs="Arial"/>
                <w:b w:val="0"/>
                <w:bCs w:val="0"/>
                <w:sz w:val="16"/>
                <w:szCs w:val="16"/>
              </w:rPr>
            </w:pPr>
            <w:r w:rsidRPr="00155C3A">
              <w:rPr>
                <w:rFonts w:ascii="Arial" w:hAnsi="Arial" w:cs="Arial"/>
                <w:b w:val="0"/>
                <w:bCs w:val="0"/>
                <w:sz w:val="16"/>
                <w:szCs w:val="16"/>
              </w:rPr>
              <w:t>Land Preparation (site clearance, excavation and levelling), fencing, and civil works</w:t>
            </w:r>
          </w:p>
          <w:p w14:paraId="76077365" w14:textId="77777777" w:rsidR="00A54BB0" w:rsidRPr="00155C3A" w:rsidRDefault="00A54BB0" w:rsidP="000C47D7">
            <w:pPr>
              <w:rPr>
                <w:rFonts w:ascii="Arial" w:hAnsi="Arial" w:cs="Arial"/>
                <w:b w:val="0"/>
                <w:bCs w:val="0"/>
                <w:sz w:val="16"/>
                <w:szCs w:val="16"/>
              </w:rPr>
            </w:pPr>
          </w:p>
          <w:p w14:paraId="16E2D8AA" w14:textId="77777777" w:rsidR="00A54BB0" w:rsidRPr="00155C3A" w:rsidRDefault="00A54BB0" w:rsidP="000C47D7">
            <w:pPr>
              <w:rPr>
                <w:rFonts w:ascii="Arial" w:hAnsi="Arial" w:cs="Arial"/>
                <w:b w:val="0"/>
                <w:bCs w:val="0"/>
                <w:sz w:val="16"/>
                <w:szCs w:val="16"/>
              </w:rPr>
            </w:pPr>
            <w:r w:rsidRPr="00155C3A">
              <w:rPr>
                <w:rFonts w:ascii="Arial" w:hAnsi="Arial" w:cs="Arial"/>
                <w:b w:val="0"/>
                <w:bCs w:val="0"/>
                <w:sz w:val="16"/>
                <w:szCs w:val="16"/>
              </w:rPr>
              <w:t>Construction of turbine foundations, transmission line pylons, internal road, auxiliary works and turbine installation</w:t>
            </w:r>
          </w:p>
          <w:p w14:paraId="179EA5B0" w14:textId="77777777" w:rsidR="00A54BB0" w:rsidRPr="00155C3A" w:rsidRDefault="00A54BB0" w:rsidP="000C47D7">
            <w:pPr>
              <w:rPr>
                <w:rFonts w:ascii="Arial" w:hAnsi="Arial" w:cs="Arial"/>
                <w:b w:val="0"/>
                <w:bCs w:val="0"/>
                <w:sz w:val="16"/>
                <w:szCs w:val="16"/>
              </w:rPr>
            </w:pPr>
          </w:p>
          <w:p w14:paraId="3C46FFB1" w14:textId="77777777" w:rsidR="00A54BB0" w:rsidRPr="00155C3A" w:rsidRDefault="00A54BB0" w:rsidP="000C47D7">
            <w:pPr>
              <w:rPr>
                <w:rFonts w:ascii="Arial" w:hAnsi="Arial" w:cs="Arial"/>
                <w:b w:val="0"/>
                <w:bCs w:val="0"/>
                <w:sz w:val="16"/>
                <w:szCs w:val="16"/>
              </w:rPr>
            </w:pPr>
            <w:r w:rsidRPr="00155C3A">
              <w:rPr>
                <w:rFonts w:ascii="Arial" w:hAnsi="Arial" w:cs="Arial"/>
                <w:b w:val="0"/>
                <w:bCs w:val="0"/>
                <w:sz w:val="16"/>
                <w:szCs w:val="16"/>
              </w:rPr>
              <w:t>Construction of associated 400 kV transmission lines – two double-circuit LEA lines (~0.3 km) and 8 towers</w:t>
            </w:r>
          </w:p>
          <w:p w14:paraId="0ACC1055" w14:textId="77777777" w:rsidR="00A54BB0" w:rsidRPr="00155C3A" w:rsidRDefault="00A54BB0" w:rsidP="000C47D7">
            <w:pPr>
              <w:rPr>
                <w:rFonts w:ascii="Arial" w:hAnsi="Arial" w:cs="Arial"/>
                <w:b w:val="0"/>
                <w:bCs w:val="0"/>
                <w:sz w:val="16"/>
                <w:szCs w:val="16"/>
              </w:rPr>
            </w:pPr>
          </w:p>
          <w:p w14:paraId="519B36FD" w14:textId="77777777" w:rsidR="00A54BB0" w:rsidRPr="00155C3A" w:rsidRDefault="00A54BB0" w:rsidP="000C47D7">
            <w:pPr>
              <w:rPr>
                <w:rFonts w:ascii="Arial" w:hAnsi="Arial" w:cs="Arial"/>
                <w:b w:val="0"/>
                <w:bCs w:val="0"/>
                <w:sz w:val="16"/>
                <w:szCs w:val="16"/>
              </w:rPr>
            </w:pPr>
            <w:r w:rsidRPr="00155C3A">
              <w:rPr>
                <w:rFonts w:ascii="Arial" w:hAnsi="Arial" w:cs="Arial"/>
                <w:b w:val="0"/>
                <w:bCs w:val="0"/>
                <w:sz w:val="16"/>
                <w:szCs w:val="16"/>
              </w:rPr>
              <w:t>Construction of associated additional access roads (new or widened roads inside project area)</w:t>
            </w:r>
          </w:p>
          <w:p w14:paraId="4A9964E5" w14:textId="77777777" w:rsidR="00A54BB0" w:rsidRPr="00155C3A" w:rsidRDefault="00A54BB0" w:rsidP="000C47D7">
            <w:pPr>
              <w:rPr>
                <w:rFonts w:ascii="Arial" w:hAnsi="Arial" w:cs="Arial"/>
                <w:b w:val="0"/>
                <w:bCs w:val="0"/>
                <w:sz w:val="16"/>
                <w:szCs w:val="16"/>
              </w:rPr>
            </w:pPr>
          </w:p>
          <w:p w14:paraId="79C08EFD" w14:textId="77777777" w:rsidR="00A54BB0" w:rsidRPr="00155C3A" w:rsidRDefault="00A54BB0" w:rsidP="000C47D7">
            <w:pPr>
              <w:rPr>
                <w:rFonts w:ascii="Arial" w:hAnsi="Arial" w:cs="Arial"/>
                <w:b w:val="0"/>
                <w:bCs w:val="0"/>
                <w:sz w:val="16"/>
                <w:szCs w:val="16"/>
              </w:rPr>
            </w:pPr>
            <w:r w:rsidRPr="00155C3A">
              <w:rPr>
                <w:rFonts w:ascii="Arial" w:hAnsi="Arial" w:cs="Arial"/>
                <w:b w:val="0"/>
                <w:bCs w:val="0"/>
                <w:sz w:val="16"/>
                <w:szCs w:val="16"/>
              </w:rPr>
              <w:t>Equipment and material transport and supply</w:t>
            </w:r>
          </w:p>
          <w:p w14:paraId="6B3A6C08" w14:textId="77777777" w:rsidR="00A54BB0" w:rsidRPr="00155C3A" w:rsidRDefault="00A54BB0" w:rsidP="000C47D7">
            <w:pPr>
              <w:rPr>
                <w:rFonts w:ascii="Arial" w:hAnsi="Arial" w:cs="Arial"/>
                <w:b w:val="0"/>
                <w:bCs w:val="0"/>
                <w:sz w:val="16"/>
                <w:szCs w:val="16"/>
              </w:rPr>
            </w:pPr>
          </w:p>
        </w:tc>
        <w:tc>
          <w:tcPr>
            <w:tcW w:w="0" w:type="auto"/>
            <w:vMerge w:val="restart"/>
            <w:vAlign w:val="center"/>
          </w:tcPr>
          <w:p w14:paraId="3B4F4CF1" w14:textId="77777777"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Degradation of air quality due to dust emission in the atmosphere</w:t>
            </w:r>
          </w:p>
        </w:tc>
        <w:tc>
          <w:tcPr>
            <w:tcW w:w="0" w:type="auto"/>
            <w:vAlign w:val="center"/>
          </w:tcPr>
          <w:p w14:paraId="6C4791E4" w14:textId="77777777" w:rsidR="00A54BB0" w:rsidRPr="00155C3A"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55C3A">
              <w:rPr>
                <w:rFonts w:ascii="Arial" w:hAnsi="Arial" w:cs="Arial"/>
                <w:sz w:val="16"/>
                <w:szCs w:val="16"/>
              </w:rPr>
              <w:t>Air quality - residential</w:t>
            </w:r>
          </w:p>
        </w:tc>
        <w:tc>
          <w:tcPr>
            <w:tcW w:w="0" w:type="auto"/>
            <w:vMerge w:val="restart"/>
          </w:tcPr>
          <w:p w14:paraId="3D5DAD10" w14:textId="26465B20"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 xml:space="preserve">Mitigation measures focus on minimizing dust emissions through careful site management, including limiting vegetation clearance, reducing exposed soil areas, and sequencing earthworks. Additional measures include regular watering of unpaved roads, covering transported materials, controlling vehicle speeds, and ensuring proper maintenance of machinery to reduce emissions. Traffic will be </w:t>
            </w:r>
            <w:proofErr w:type="gramStart"/>
            <w:r w:rsidRPr="00155C3A">
              <w:rPr>
                <w:rFonts w:ascii="Arial" w:hAnsi="Arial" w:cs="Arial"/>
                <w:sz w:val="16"/>
                <w:szCs w:val="16"/>
              </w:rPr>
              <w:t>managed</w:t>
            </w:r>
            <w:proofErr w:type="gramEnd"/>
            <w:r w:rsidRPr="00155C3A">
              <w:rPr>
                <w:rFonts w:ascii="Arial" w:hAnsi="Arial" w:cs="Arial"/>
                <w:sz w:val="16"/>
                <w:szCs w:val="16"/>
              </w:rPr>
              <w:t xml:space="preserve"> to avoid unnecessary movements near residential areas, and modern equipment will be used where possible. Stockpiles will be properly managed, and any community concerns will be addressed through a grievance mechanism implemented throughout all project phases.</w:t>
            </w:r>
          </w:p>
        </w:tc>
        <w:tc>
          <w:tcPr>
            <w:tcW w:w="0" w:type="auto"/>
            <w:vAlign w:val="center"/>
          </w:tcPr>
          <w:p w14:paraId="298CDFE4" w14:textId="3C41A4D7" w:rsidR="00A54BB0" w:rsidRPr="00155C3A"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55C3A">
              <w:rPr>
                <w:rFonts w:ascii="Arial" w:hAnsi="Arial" w:cs="Arial"/>
                <w:b/>
                <w:sz w:val="16"/>
                <w:szCs w:val="16"/>
              </w:rPr>
              <w:t>Negligible</w:t>
            </w:r>
          </w:p>
        </w:tc>
      </w:tr>
      <w:tr w:rsidR="00A54BB0" w:rsidRPr="00155C3A" w14:paraId="5C4ECC0B" w14:textId="77777777" w:rsidTr="000C47D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D05D584" w14:textId="77777777" w:rsidR="00A54BB0" w:rsidRPr="00155C3A" w:rsidRDefault="00A54BB0" w:rsidP="000C47D7">
            <w:pPr>
              <w:rPr>
                <w:rFonts w:ascii="Arial" w:hAnsi="Arial" w:cs="Arial"/>
                <w:b w:val="0"/>
                <w:bCs w:val="0"/>
                <w:sz w:val="16"/>
                <w:szCs w:val="16"/>
              </w:rPr>
            </w:pPr>
          </w:p>
        </w:tc>
        <w:tc>
          <w:tcPr>
            <w:tcW w:w="0" w:type="auto"/>
            <w:vMerge/>
            <w:vAlign w:val="center"/>
          </w:tcPr>
          <w:p w14:paraId="43DD191F" w14:textId="77777777" w:rsidR="00A54BB0" w:rsidRPr="00155C3A"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vAlign w:val="center"/>
          </w:tcPr>
          <w:p w14:paraId="141990E2" w14:textId="77777777" w:rsidR="00A54BB0" w:rsidRPr="00155C3A"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Air quality - construction workers</w:t>
            </w:r>
          </w:p>
        </w:tc>
        <w:tc>
          <w:tcPr>
            <w:tcW w:w="0" w:type="auto"/>
            <w:vMerge/>
          </w:tcPr>
          <w:p w14:paraId="447D1353" w14:textId="77777777" w:rsidR="00A54BB0" w:rsidRPr="00155C3A"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vAlign w:val="center"/>
          </w:tcPr>
          <w:p w14:paraId="37088122" w14:textId="0A6E4C98" w:rsidR="00A54BB0" w:rsidRPr="00155C3A"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sz w:val="16"/>
                <w:szCs w:val="16"/>
              </w:rPr>
              <w:t>Negligible</w:t>
            </w:r>
          </w:p>
        </w:tc>
      </w:tr>
      <w:tr w:rsidR="00A54BB0" w:rsidRPr="00155C3A" w14:paraId="23F5846D" w14:textId="77777777" w:rsidTr="000C47D7">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369172" w14:textId="77777777" w:rsidR="00A54BB0" w:rsidRPr="00155C3A" w:rsidRDefault="00A54BB0" w:rsidP="000C47D7">
            <w:pPr>
              <w:rPr>
                <w:rFonts w:ascii="Arial" w:hAnsi="Arial" w:cs="Arial"/>
                <w:b w:val="0"/>
                <w:bCs w:val="0"/>
                <w:sz w:val="16"/>
                <w:szCs w:val="16"/>
              </w:rPr>
            </w:pPr>
          </w:p>
        </w:tc>
        <w:tc>
          <w:tcPr>
            <w:tcW w:w="0" w:type="auto"/>
            <w:vAlign w:val="center"/>
          </w:tcPr>
          <w:p w14:paraId="1B76AF23" w14:textId="77777777"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Degradation of air quality due to pollutants emitted in the atmosphere from engines of vehicles and equipment</w:t>
            </w:r>
          </w:p>
        </w:tc>
        <w:tc>
          <w:tcPr>
            <w:tcW w:w="0" w:type="auto"/>
            <w:vAlign w:val="center"/>
          </w:tcPr>
          <w:p w14:paraId="33299AC5" w14:textId="77777777" w:rsidR="00A54BB0" w:rsidRPr="00155C3A"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themeColor="background1"/>
                <w:sz w:val="16"/>
                <w:szCs w:val="16"/>
              </w:rPr>
            </w:pPr>
            <w:r w:rsidRPr="00155C3A">
              <w:rPr>
                <w:rFonts w:ascii="Arial" w:hAnsi="Arial" w:cs="Arial"/>
                <w:sz w:val="16"/>
                <w:szCs w:val="16"/>
              </w:rPr>
              <w:t>Air quality - residential</w:t>
            </w:r>
          </w:p>
        </w:tc>
        <w:tc>
          <w:tcPr>
            <w:tcW w:w="0" w:type="auto"/>
            <w:vMerge/>
          </w:tcPr>
          <w:p w14:paraId="138F987E" w14:textId="77777777"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vAlign w:val="center"/>
          </w:tcPr>
          <w:p w14:paraId="65630CF8" w14:textId="5EA5A3F3" w:rsidR="00A54BB0" w:rsidRPr="00155C3A"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sz w:val="16"/>
                <w:szCs w:val="16"/>
              </w:rPr>
              <w:t>Negligible</w:t>
            </w:r>
          </w:p>
        </w:tc>
      </w:tr>
      <w:tr w:rsidR="00A54BB0" w:rsidRPr="00155C3A" w14:paraId="0A77F790" w14:textId="77777777" w:rsidTr="000C47D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0117CEE" w14:textId="77777777" w:rsidR="00A54BB0" w:rsidRPr="00155C3A" w:rsidRDefault="00A54BB0" w:rsidP="000C47D7">
            <w:pPr>
              <w:rPr>
                <w:rFonts w:ascii="Arial" w:hAnsi="Arial" w:cs="Arial"/>
                <w:b w:val="0"/>
                <w:bCs w:val="0"/>
                <w:sz w:val="16"/>
                <w:szCs w:val="16"/>
              </w:rPr>
            </w:pPr>
          </w:p>
        </w:tc>
        <w:tc>
          <w:tcPr>
            <w:tcW w:w="0" w:type="auto"/>
            <w:vAlign w:val="center"/>
          </w:tcPr>
          <w:p w14:paraId="39F26704" w14:textId="77777777" w:rsidR="00A54BB0" w:rsidRPr="00155C3A"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Soil compaction and erosion</w:t>
            </w:r>
          </w:p>
        </w:tc>
        <w:tc>
          <w:tcPr>
            <w:tcW w:w="0" w:type="auto"/>
            <w:vAlign w:val="center"/>
          </w:tcPr>
          <w:p w14:paraId="2366D2E8" w14:textId="77777777" w:rsidR="00A54BB0" w:rsidRPr="00155C3A"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Soil</w:t>
            </w:r>
          </w:p>
        </w:tc>
        <w:tc>
          <w:tcPr>
            <w:tcW w:w="0" w:type="auto"/>
          </w:tcPr>
          <w:p w14:paraId="3C0AACD6" w14:textId="3DDBAB51" w:rsidR="00A54BB0" w:rsidRPr="00155C3A"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 xml:space="preserve">Mitigation measures aim to protect soil quality and prevent erosion through careful planning and site management. These include limiting vegetation clearance to the minimum necessary, avoiding </w:t>
            </w:r>
            <w:proofErr w:type="gramStart"/>
            <w:r w:rsidRPr="00155C3A">
              <w:rPr>
                <w:rFonts w:ascii="Arial" w:hAnsi="Arial" w:cs="Arial"/>
                <w:sz w:val="16"/>
                <w:szCs w:val="16"/>
              </w:rPr>
              <w:t>works</w:t>
            </w:r>
            <w:proofErr w:type="gramEnd"/>
            <w:r w:rsidRPr="00155C3A">
              <w:rPr>
                <w:rFonts w:ascii="Arial" w:hAnsi="Arial" w:cs="Arial"/>
                <w:sz w:val="16"/>
                <w:szCs w:val="16"/>
              </w:rPr>
              <w:t xml:space="preserve"> during adverse weather conditions, and restricting construction activities to defined areas. Measures such as soil stabilisation, stormwater management and timely rehabilitation of disturbed areas will be implemented. In addition, excavated areas will be restored to their original condition where possible, and any issues such as erosion or soil compaction will be promptly addressed through corrective actions.</w:t>
            </w:r>
          </w:p>
        </w:tc>
        <w:tc>
          <w:tcPr>
            <w:tcW w:w="0" w:type="auto"/>
            <w:shd w:val="clear" w:color="auto" w:fill="F2DCDB"/>
            <w:vAlign w:val="center"/>
          </w:tcPr>
          <w:p w14:paraId="4A611BE5" w14:textId="3EBEE2AC" w:rsidR="00A54BB0" w:rsidRPr="00155C3A"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A54BB0" w:rsidRPr="00155C3A" w14:paraId="7B1D8D06"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E2C552A" w14:textId="77777777" w:rsidR="00A54BB0" w:rsidRPr="00155C3A" w:rsidRDefault="00A54BB0" w:rsidP="000C47D7">
            <w:pPr>
              <w:rPr>
                <w:rFonts w:ascii="Arial" w:hAnsi="Arial" w:cs="Arial"/>
                <w:b w:val="0"/>
                <w:bCs w:val="0"/>
                <w:sz w:val="16"/>
                <w:szCs w:val="16"/>
              </w:rPr>
            </w:pPr>
          </w:p>
        </w:tc>
        <w:tc>
          <w:tcPr>
            <w:tcW w:w="0" w:type="auto"/>
            <w:vAlign w:val="center"/>
          </w:tcPr>
          <w:p w14:paraId="45CC0679" w14:textId="5EBB15F2"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55C3A">
              <w:rPr>
                <w:rFonts w:ascii="Arial" w:hAnsi="Arial" w:cs="Arial"/>
                <w:color w:val="000000" w:themeColor="text1"/>
                <w:sz w:val="16"/>
                <w:szCs w:val="16"/>
              </w:rPr>
              <w:t>Loss or displacement of, or disturbance to, fauna species, due to clearance of vegetation for project infrastructure or access to infrastructure, noise, light and movement of vehicles</w:t>
            </w:r>
          </w:p>
        </w:tc>
        <w:tc>
          <w:tcPr>
            <w:tcW w:w="0" w:type="auto"/>
            <w:vAlign w:val="center"/>
          </w:tcPr>
          <w:p w14:paraId="3F211E1C" w14:textId="17056CAA" w:rsidR="00A54BB0" w:rsidRPr="00155C3A"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Birds and Bats</w:t>
            </w:r>
          </w:p>
        </w:tc>
        <w:tc>
          <w:tcPr>
            <w:tcW w:w="0" w:type="auto"/>
          </w:tcPr>
          <w:p w14:paraId="5D8830DE" w14:textId="77777777"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 xml:space="preserve">Mitigation measures focus on avoiding habitat disturbance, reducing noise and visual disturbance, and protecting sensitive species during construction, with particular attention to birds and bats. </w:t>
            </w:r>
          </w:p>
          <w:p w14:paraId="08D66E95" w14:textId="08C8EFDE" w:rsidR="00A54BB0" w:rsidRPr="00155C3A"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Impacts shall be managed through the preparation of a dedicated Biodiversity and Monitoring Management Plan (BMP).</w:t>
            </w:r>
          </w:p>
        </w:tc>
        <w:tc>
          <w:tcPr>
            <w:tcW w:w="0" w:type="auto"/>
            <w:vAlign w:val="center"/>
          </w:tcPr>
          <w:p w14:paraId="5B05731A" w14:textId="08B452BA" w:rsidR="00A54BB0" w:rsidRPr="00155C3A"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B71F1D" w:rsidRPr="00155C3A" w14:paraId="20573220" w14:textId="77777777" w:rsidTr="000C47D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DB91F78" w14:textId="4AE532C0" w:rsidR="00B71F1D" w:rsidRPr="00155C3A" w:rsidRDefault="00B71F1D" w:rsidP="000C47D7">
            <w:pPr>
              <w:rPr>
                <w:rFonts w:ascii="Arial" w:hAnsi="Arial" w:cs="Arial"/>
                <w:b w:val="0"/>
                <w:bCs w:val="0"/>
                <w:sz w:val="16"/>
                <w:szCs w:val="16"/>
              </w:rPr>
            </w:pPr>
            <w:r w:rsidRPr="00155C3A">
              <w:rPr>
                <w:rFonts w:ascii="Arial" w:hAnsi="Arial" w:cs="Arial"/>
                <w:b w:val="0"/>
                <w:bCs w:val="0"/>
                <w:sz w:val="16"/>
                <w:szCs w:val="16"/>
              </w:rPr>
              <w:t>Land Acquisition / Land use</w:t>
            </w:r>
          </w:p>
        </w:tc>
        <w:tc>
          <w:tcPr>
            <w:tcW w:w="0" w:type="auto"/>
            <w:vAlign w:val="center"/>
          </w:tcPr>
          <w:p w14:paraId="71F92E02" w14:textId="55D8CAA3" w:rsidR="00B71F1D" w:rsidRPr="00155C3A" w:rsidRDefault="00B71F1D"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Temporary economic displacement caused by restricted access to agricultural land and pasture routes due to temporary land occupation and construction activities</w:t>
            </w:r>
          </w:p>
        </w:tc>
        <w:tc>
          <w:tcPr>
            <w:tcW w:w="0" w:type="auto"/>
            <w:vAlign w:val="center"/>
          </w:tcPr>
          <w:p w14:paraId="7F6706D2" w14:textId="77777777" w:rsidR="00B71F1D" w:rsidRPr="00155C3A"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Vulnerable and Disadvantaged Groups</w:t>
            </w:r>
          </w:p>
        </w:tc>
        <w:tc>
          <w:tcPr>
            <w:tcW w:w="0" w:type="auto"/>
          </w:tcPr>
          <w:p w14:paraId="41E3FD3B" w14:textId="68C59591" w:rsidR="004C6101" w:rsidRPr="00155C3A" w:rsidRDefault="004C6101"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Develop and implement a Livelihood Restoration Plan (LRP) aligned with IFC PS5/EBRD ESR5.</w:t>
            </w:r>
          </w:p>
          <w:p w14:paraId="6D4AF5FD" w14:textId="69D62C11" w:rsidR="00B71F1D" w:rsidRPr="00155C3A" w:rsidRDefault="004C6101"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Ensure appropriate disclosure of information and consultation with affected people, including advance notice of construction activities and temporary access restrictions.</w:t>
            </w:r>
          </w:p>
        </w:tc>
        <w:tc>
          <w:tcPr>
            <w:tcW w:w="0" w:type="auto"/>
            <w:vAlign w:val="center"/>
          </w:tcPr>
          <w:p w14:paraId="0499EE4A" w14:textId="3FB3BC48" w:rsidR="00B71F1D" w:rsidRPr="00155C3A"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B71F1D" w:rsidRPr="00155C3A" w14:paraId="2F492449" w14:textId="77777777" w:rsidTr="000C47D7">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4C4ACA5" w14:textId="77777777" w:rsidR="00B71F1D" w:rsidRPr="00155C3A" w:rsidRDefault="00B71F1D" w:rsidP="000C47D7">
            <w:pPr>
              <w:rPr>
                <w:rFonts w:ascii="Arial" w:hAnsi="Arial" w:cs="Arial"/>
                <w:b w:val="0"/>
                <w:bCs w:val="0"/>
                <w:sz w:val="16"/>
                <w:szCs w:val="16"/>
              </w:rPr>
            </w:pPr>
          </w:p>
        </w:tc>
        <w:tc>
          <w:tcPr>
            <w:tcW w:w="0" w:type="auto"/>
            <w:vAlign w:val="center"/>
          </w:tcPr>
          <w:p w14:paraId="581FF93A" w14:textId="77777777" w:rsidR="00B71F1D" w:rsidRPr="00155C3A" w:rsidRDefault="00B71F1D"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Increased pressure on local infrastructure and public services due to the influx of non-local workers.</w:t>
            </w:r>
          </w:p>
        </w:tc>
        <w:tc>
          <w:tcPr>
            <w:tcW w:w="0" w:type="auto"/>
            <w:vAlign w:val="center"/>
          </w:tcPr>
          <w:p w14:paraId="5DA90441" w14:textId="77777777" w:rsidR="00B71F1D" w:rsidRPr="00155C3A" w:rsidRDefault="00B71F1D"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Public Services &amp; Local Institutions</w:t>
            </w:r>
          </w:p>
        </w:tc>
        <w:tc>
          <w:tcPr>
            <w:tcW w:w="0" w:type="auto"/>
          </w:tcPr>
          <w:p w14:paraId="5744D820" w14:textId="2FBFE012" w:rsidR="00B71F1D" w:rsidRPr="00155C3A" w:rsidRDefault="003E299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 xml:space="preserve">Mitigation measures focus on reducing pressure on local infrastructure by planning workforce needs and coordinating closely with local authorities. Workers will be accommodated using existing housing solutions without affecting community access to services, and key facilities (such as sanitation, water and waste management) will be provided on site. Traffic will be managed to </w:t>
            </w:r>
            <w:r w:rsidRPr="00155C3A">
              <w:rPr>
                <w:rFonts w:ascii="Arial" w:hAnsi="Arial" w:cs="Arial"/>
                <w:sz w:val="16"/>
                <w:szCs w:val="16"/>
              </w:rPr>
              <w:lastRenderedPageBreak/>
              <w:t>avoid congestion, and workers will be trained to use local infrastructure responsibly. Ongoing engagement with local stakeholders will ensure that any emerging pressures are identified and addressed promptly.</w:t>
            </w:r>
          </w:p>
        </w:tc>
        <w:tc>
          <w:tcPr>
            <w:tcW w:w="0" w:type="auto"/>
            <w:shd w:val="clear" w:color="auto" w:fill="F2DCDB"/>
            <w:vAlign w:val="center"/>
          </w:tcPr>
          <w:p w14:paraId="6054C652" w14:textId="4F2EF39E" w:rsidR="00B71F1D" w:rsidRPr="00155C3A" w:rsidRDefault="00B71F1D"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lastRenderedPageBreak/>
              <w:t>Low</w:t>
            </w:r>
          </w:p>
        </w:tc>
      </w:tr>
      <w:tr w:rsidR="00B71F1D" w:rsidRPr="00155C3A" w14:paraId="2AD40DB5" w14:textId="77777777" w:rsidTr="000C47D7">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01DEF6" w14:textId="77777777" w:rsidR="00B71F1D" w:rsidRPr="00155C3A" w:rsidRDefault="00B71F1D" w:rsidP="000C47D7">
            <w:pPr>
              <w:rPr>
                <w:rFonts w:ascii="Arial" w:hAnsi="Arial" w:cs="Arial"/>
                <w:b w:val="0"/>
                <w:bCs w:val="0"/>
                <w:sz w:val="16"/>
                <w:szCs w:val="16"/>
              </w:rPr>
            </w:pPr>
          </w:p>
        </w:tc>
        <w:tc>
          <w:tcPr>
            <w:tcW w:w="0" w:type="auto"/>
            <w:vAlign w:val="center"/>
          </w:tcPr>
          <w:p w14:paraId="76D3400E" w14:textId="77777777" w:rsidR="00B71F1D" w:rsidRPr="00155C3A" w:rsidRDefault="00B71F1D"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Pressure on local housing availability and affordability due to accommodation needs of non-local construction workers.</w:t>
            </w:r>
          </w:p>
        </w:tc>
        <w:tc>
          <w:tcPr>
            <w:tcW w:w="0" w:type="auto"/>
            <w:vAlign w:val="center"/>
          </w:tcPr>
          <w:p w14:paraId="214D5E3C" w14:textId="77777777" w:rsidR="00B71F1D" w:rsidRPr="00155C3A"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Local population and communities</w:t>
            </w:r>
          </w:p>
        </w:tc>
        <w:tc>
          <w:tcPr>
            <w:tcW w:w="0" w:type="auto"/>
          </w:tcPr>
          <w:p w14:paraId="178A4635" w14:textId="5596DAAF" w:rsidR="00B71F1D" w:rsidRPr="00155C3A" w:rsidRDefault="00631C32"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Mitigation measures aim to minimise pressure on the local housing market through careful workforce planning and coordination with local authorities. Non-local workers will be accommodated in existing off-site housing that meets appropriate standards, avoiding the need for new housing developments. The local rental market will be monitored to identify any potential increases in prices or displacement risks, and accommodation arrangements will be managed in coordination with contractors and local authorities to ensure an orderly and balanced use of available housing.</w:t>
            </w:r>
          </w:p>
        </w:tc>
        <w:tc>
          <w:tcPr>
            <w:tcW w:w="0" w:type="auto"/>
            <w:shd w:val="clear" w:color="auto" w:fill="F2DCDB"/>
            <w:vAlign w:val="center"/>
          </w:tcPr>
          <w:p w14:paraId="666AD0AB" w14:textId="5745458E" w:rsidR="00B71F1D" w:rsidRPr="00155C3A"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B646E6" w:rsidRPr="00155C3A" w14:paraId="48777A07" w14:textId="77777777" w:rsidTr="000C47D7">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1EAD93" w14:textId="77777777" w:rsidR="00B646E6" w:rsidRPr="00155C3A" w:rsidRDefault="00B646E6" w:rsidP="000C47D7">
            <w:pPr>
              <w:rPr>
                <w:rFonts w:ascii="Arial" w:hAnsi="Arial" w:cs="Arial"/>
                <w:b w:val="0"/>
                <w:bCs w:val="0"/>
                <w:sz w:val="16"/>
                <w:szCs w:val="16"/>
              </w:rPr>
            </w:pPr>
          </w:p>
        </w:tc>
        <w:tc>
          <w:tcPr>
            <w:tcW w:w="0" w:type="auto"/>
            <w:vMerge w:val="restart"/>
            <w:vAlign w:val="center"/>
          </w:tcPr>
          <w:p w14:paraId="47F5AB8E" w14:textId="77777777" w:rsidR="00B646E6" w:rsidRPr="00155C3A" w:rsidRDefault="00B646E6"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Increased security risks, including potential rise in crime, communicable diseases, and social issues due to the influx of non-local workers.</w:t>
            </w:r>
          </w:p>
        </w:tc>
        <w:tc>
          <w:tcPr>
            <w:tcW w:w="0" w:type="auto"/>
            <w:vAlign w:val="center"/>
          </w:tcPr>
          <w:p w14:paraId="36C3478B" w14:textId="77777777" w:rsidR="00B646E6" w:rsidRPr="00155C3A" w:rsidRDefault="00B646E6"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Local population and communities</w:t>
            </w:r>
          </w:p>
        </w:tc>
        <w:tc>
          <w:tcPr>
            <w:tcW w:w="0" w:type="auto"/>
            <w:vMerge w:val="restart"/>
          </w:tcPr>
          <w:p w14:paraId="046F6E1B" w14:textId="3C915BFA" w:rsidR="00B646E6" w:rsidRPr="00155C3A" w:rsidRDefault="00B646E6"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Mitigation measures aim to manage potential social impacts related to workforce presence by prioritising local employment where possible and promoting responsible worker behaviour. A Workers’ Code of Conduct will be implemented, together with training on cultural awareness and community relations. Measures will also be in place to protect community health and safety, including proper sanitation, waste management and disease prevention. A grievance mechanism will allow community members to raise concerns, and specific provisions will be introduced to safeguard vulnerable groups.</w:t>
            </w:r>
          </w:p>
        </w:tc>
        <w:tc>
          <w:tcPr>
            <w:tcW w:w="0" w:type="auto"/>
            <w:shd w:val="clear" w:color="auto" w:fill="F2DCDB"/>
            <w:vAlign w:val="center"/>
          </w:tcPr>
          <w:p w14:paraId="5677AEBD" w14:textId="55CF1542" w:rsidR="00B646E6" w:rsidRPr="00155C3A" w:rsidRDefault="00B646E6"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B646E6" w:rsidRPr="00155C3A" w14:paraId="5CAD9371" w14:textId="77777777" w:rsidTr="000C47D7">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A913191" w14:textId="77777777" w:rsidR="00B646E6" w:rsidRPr="00155C3A" w:rsidRDefault="00B646E6" w:rsidP="000C47D7">
            <w:pPr>
              <w:rPr>
                <w:rFonts w:ascii="Arial" w:hAnsi="Arial" w:cs="Arial"/>
                <w:b w:val="0"/>
                <w:bCs w:val="0"/>
                <w:sz w:val="16"/>
                <w:szCs w:val="16"/>
              </w:rPr>
            </w:pPr>
          </w:p>
        </w:tc>
        <w:tc>
          <w:tcPr>
            <w:tcW w:w="0" w:type="auto"/>
            <w:vMerge/>
            <w:vAlign w:val="center"/>
          </w:tcPr>
          <w:p w14:paraId="1F27450B" w14:textId="77777777" w:rsidR="00B646E6" w:rsidRPr="00155C3A" w:rsidRDefault="00B646E6"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vAlign w:val="center"/>
          </w:tcPr>
          <w:p w14:paraId="409087C5" w14:textId="77777777" w:rsidR="00B646E6" w:rsidRPr="00155C3A" w:rsidRDefault="00B646E6"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Vulnerable and Disadvantaged Groups</w:t>
            </w:r>
          </w:p>
        </w:tc>
        <w:tc>
          <w:tcPr>
            <w:tcW w:w="0" w:type="auto"/>
            <w:vMerge/>
          </w:tcPr>
          <w:p w14:paraId="31326D9A" w14:textId="77777777" w:rsidR="00B646E6" w:rsidRPr="00155C3A" w:rsidRDefault="00B646E6"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shd w:val="clear" w:color="auto" w:fill="E6B8B7"/>
            <w:vAlign w:val="center"/>
          </w:tcPr>
          <w:p w14:paraId="745ADBC2" w14:textId="0180470D" w:rsidR="00B646E6" w:rsidRPr="00155C3A" w:rsidRDefault="00B646E6"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Moderate</w:t>
            </w:r>
          </w:p>
        </w:tc>
      </w:tr>
      <w:tr w:rsidR="00B03FFE" w:rsidRPr="00155C3A" w14:paraId="3BE4398F" w14:textId="77777777" w:rsidTr="000C47D7">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9FE3A89" w14:textId="77777777" w:rsidR="00B03FFE" w:rsidRPr="00155C3A" w:rsidRDefault="00B03FFE" w:rsidP="000C47D7">
            <w:pPr>
              <w:rPr>
                <w:rFonts w:ascii="Arial" w:hAnsi="Arial" w:cs="Arial"/>
                <w:b w:val="0"/>
                <w:bCs w:val="0"/>
                <w:sz w:val="16"/>
                <w:szCs w:val="16"/>
              </w:rPr>
            </w:pPr>
          </w:p>
        </w:tc>
        <w:tc>
          <w:tcPr>
            <w:tcW w:w="0" w:type="auto"/>
            <w:vAlign w:val="center"/>
          </w:tcPr>
          <w:p w14:paraId="79183D22" w14:textId="77777777" w:rsidR="00B03FFE" w:rsidRPr="00155C3A" w:rsidRDefault="00B03FFE"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Health and safety risks for workers due to inadequate accommodation, poor sanitation, and non-compliance with labour and safety standards.</w:t>
            </w:r>
          </w:p>
        </w:tc>
        <w:tc>
          <w:tcPr>
            <w:tcW w:w="0" w:type="auto"/>
            <w:vAlign w:val="center"/>
          </w:tcPr>
          <w:p w14:paraId="31EE375D" w14:textId="77777777" w:rsidR="00B03FFE" w:rsidRPr="00155C3A" w:rsidRDefault="00B03FFE"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Workforce</w:t>
            </w:r>
          </w:p>
        </w:tc>
        <w:tc>
          <w:tcPr>
            <w:tcW w:w="0" w:type="auto"/>
            <w:vMerge w:val="restart"/>
          </w:tcPr>
          <w:p w14:paraId="7F02AAB8" w14:textId="109DCFE4" w:rsidR="00B03FFE" w:rsidRPr="00155C3A" w:rsidRDefault="00092EF1"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Mitigation measures aim to ensure safe and fair working conditions for all workers. Adequate accommodation will be provided in line with international and national standards, including proper space, sanitation, water supply and hygiene, with regular inspections and equal conditions for all workers. A confidential grievance mechanism will be available to raise concerns. In addition, supply chain risks will be managed through strict contractor requirements, including compliance with labour and health and safety standards, due diligence processes, and continuous monitoring of performance. All workers, including those indirectly employed, will have access to grievance mechanisms to report issues safely.</w:t>
            </w:r>
          </w:p>
        </w:tc>
        <w:tc>
          <w:tcPr>
            <w:tcW w:w="0" w:type="auto"/>
            <w:shd w:val="clear" w:color="auto" w:fill="F2DCDB"/>
            <w:vAlign w:val="center"/>
          </w:tcPr>
          <w:p w14:paraId="06D1DBA7" w14:textId="490C7C20" w:rsidR="00B03FFE" w:rsidRPr="00155C3A" w:rsidRDefault="00B03FFE"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B03FFE" w:rsidRPr="00155C3A" w14:paraId="53B646BF" w14:textId="77777777" w:rsidTr="000C47D7">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D80FD03" w14:textId="77777777" w:rsidR="00B03FFE" w:rsidRPr="00155C3A" w:rsidRDefault="00B03FFE" w:rsidP="000C47D7">
            <w:pPr>
              <w:rPr>
                <w:rFonts w:ascii="Arial" w:hAnsi="Arial" w:cs="Arial"/>
                <w:b w:val="0"/>
                <w:bCs w:val="0"/>
                <w:sz w:val="16"/>
                <w:szCs w:val="16"/>
              </w:rPr>
            </w:pPr>
          </w:p>
        </w:tc>
        <w:tc>
          <w:tcPr>
            <w:tcW w:w="0" w:type="auto"/>
            <w:vAlign w:val="center"/>
          </w:tcPr>
          <w:p w14:paraId="187742AB" w14:textId="77777777" w:rsidR="00B03FFE" w:rsidRPr="00155C3A" w:rsidRDefault="00B03FFE"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Health and safety risks for supply chain workers due to inadequate labour conditions and limited oversight of global third-party suppliers.</w:t>
            </w:r>
          </w:p>
        </w:tc>
        <w:tc>
          <w:tcPr>
            <w:tcW w:w="0" w:type="auto"/>
            <w:vAlign w:val="center"/>
          </w:tcPr>
          <w:p w14:paraId="32456726" w14:textId="77777777" w:rsidR="00B03FFE" w:rsidRPr="00155C3A" w:rsidRDefault="00B03FFE"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Workforce</w:t>
            </w:r>
          </w:p>
        </w:tc>
        <w:tc>
          <w:tcPr>
            <w:tcW w:w="0" w:type="auto"/>
            <w:vMerge/>
          </w:tcPr>
          <w:p w14:paraId="24C25AA5" w14:textId="77777777" w:rsidR="00B03FFE" w:rsidRPr="00155C3A" w:rsidRDefault="00B03FFE"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shd w:val="clear" w:color="auto" w:fill="F2DCDB"/>
            <w:vAlign w:val="center"/>
          </w:tcPr>
          <w:p w14:paraId="39001870" w14:textId="1C2078AE" w:rsidR="00B03FFE" w:rsidRPr="00155C3A" w:rsidRDefault="00B03FFE"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8C51F5" w:rsidRPr="00155C3A" w14:paraId="021B8C72" w14:textId="77777777" w:rsidTr="000C47D7">
        <w:trPr>
          <w:trHeight w:val="40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665459F" w14:textId="77777777" w:rsidR="008C51F5" w:rsidRPr="00155C3A" w:rsidRDefault="008C51F5" w:rsidP="000C47D7">
            <w:pPr>
              <w:rPr>
                <w:rFonts w:ascii="Arial" w:hAnsi="Arial" w:cs="Arial"/>
                <w:b w:val="0"/>
                <w:bCs w:val="0"/>
                <w:sz w:val="16"/>
                <w:szCs w:val="16"/>
              </w:rPr>
            </w:pPr>
            <w:r w:rsidRPr="00155C3A">
              <w:rPr>
                <w:rFonts w:ascii="Arial" w:hAnsi="Arial" w:cs="Arial"/>
                <w:b w:val="0"/>
                <w:bCs w:val="0"/>
                <w:sz w:val="16"/>
                <w:szCs w:val="16"/>
              </w:rPr>
              <w:t>Equipment and material transport and supply</w:t>
            </w:r>
          </w:p>
        </w:tc>
        <w:tc>
          <w:tcPr>
            <w:tcW w:w="0" w:type="auto"/>
            <w:vAlign w:val="center"/>
          </w:tcPr>
          <w:p w14:paraId="162CB29D" w14:textId="77777777" w:rsidR="008C51F5" w:rsidRPr="00155C3A"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Temporary traffic congestion and slower travel speeds due to increased movement of heavy and oversized vehicles and daily worker commuting.</w:t>
            </w:r>
          </w:p>
        </w:tc>
        <w:tc>
          <w:tcPr>
            <w:tcW w:w="0" w:type="auto"/>
            <w:vAlign w:val="center"/>
          </w:tcPr>
          <w:p w14:paraId="4BCD004F" w14:textId="77777777" w:rsidR="008C51F5" w:rsidRPr="00155C3A"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Local population and communities</w:t>
            </w:r>
          </w:p>
        </w:tc>
        <w:tc>
          <w:tcPr>
            <w:tcW w:w="0" w:type="auto"/>
            <w:vMerge w:val="restart"/>
          </w:tcPr>
          <w:p w14:paraId="13B32CB6" w14:textId="6EF405D6" w:rsidR="008C51F5" w:rsidRPr="00155C3A"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 xml:space="preserve">Mitigation measures are consolidated within a comprehensive Traffic Management Plan (TMP), which will address traffic-related impacts during construction and decommissioning. The TMP will define transport routes, scheduling, traffic control measures and safety procedures to minimise congestion and ensure safe road use. It will also include coordination with local authorities, communication with communities, and measures to manage heavy and oversized deliveries. Road conditions will be protected through pre-construction surveys, temporary upgrades and post-construction restoration </w:t>
            </w:r>
            <w:proofErr w:type="gramStart"/>
            <w:r w:rsidRPr="00155C3A">
              <w:rPr>
                <w:rFonts w:ascii="Arial" w:hAnsi="Arial" w:cs="Arial"/>
                <w:sz w:val="16"/>
                <w:szCs w:val="16"/>
              </w:rPr>
              <w:t>where</w:t>
            </w:r>
            <w:proofErr w:type="gramEnd"/>
            <w:r w:rsidRPr="00155C3A">
              <w:rPr>
                <w:rFonts w:ascii="Arial" w:hAnsi="Arial" w:cs="Arial"/>
                <w:sz w:val="16"/>
                <w:szCs w:val="16"/>
              </w:rPr>
              <w:t xml:space="preserve"> needed. In addition, strict driver </w:t>
            </w:r>
            <w:r w:rsidRPr="00155C3A">
              <w:rPr>
                <w:rFonts w:ascii="Arial" w:hAnsi="Arial" w:cs="Arial"/>
                <w:sz w:val="16"/>
                <w:szCs w:val="16"/>
              </w:rPr>
              <w:lastRenderedPageBreak/>
              <w:t>training, vehicle standards and safety controls will be applied, together with ongoing monitoring to adjust measures as required.</w:t>
            </w:r>
          </w:p>
        </w:tc>
        <w:tc>
          <w:tcPr>
            <w:tcW w:w="0" w:type="auto"/>
            <w:shd w:val="clear" w:color="auto" w:fill="F2DCDB"/>
            <w:vAlign w:val="center"/>
          </w:tcPr>
          <w:p w14:paraId="2783B09F" w14:textId="3F5AA686" w:rsidR="008C51F5" w:rsidRPr="00155C3A"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lastRenderedPageBreak/>
              <w:t>Low</w:t>
            </w:r>
          </w:p>
        </w:tc>
      </w:tr>
      <w:tr w:rsidR="008C51F5" w:rsidRPr="00155C3A" w14:paraId="27A72CB5" w14:textId="77777777" w:rsidTr="000C47D7">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2F14FC7" w14:textId="77777777" w:rsidR="008C51F5" w:rsidRPr="00155C3A" w:rsidRDefault="008C51F5" w:rsidP="000C47D7">
            <w:pPr>
              <w:rPr>
                <w:rFonts w:ascii="Arial" w:hAnsi="Arial" w:cs="Arial"/>
                <w:b w:val="0"/>
                <w:bCs w:val="0"/>
                <w:sz w:val="16"/>
                <w:szCs w:val="16"/>
              </w:rPr>
            </w:pPr>
          </w:p>
        </w:tc>
        <w:tc>
          <w:tcPr>
            <w:tcW w:w="0" w:type="auto"/>
            <w:vMerge w:val="restart"/>
            <w:vAlign w:val="center"/>
          </w:tcPr>
          <w:p w14:paraId="5E8E6247" w14:textId="77777777" w:rsidR="008C51F5" w:rsidRPr="00155C3A" w:rsidRDefault="008C51F5"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Deterioration of local and regional road surfaces from frequent heavy truck deliveries and transport of oversized loads.</w:t>
            </w:r>
          </w:p>
        </w:tc>
        <w:tc>
          <w:tcPr>
            <w:tcW w:w="0" w:type="auto"/>
            <w:vAlign w:val="center"/>
          </w:tcPr>
          <w:p w14:paraId="175D2798" w14:textId="77777777" w:rsidR="008C51F5" w:rsidRPr="00155C3A" w:rsidRDefault="008C51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Local population and communities</w:t>
            </w:r>
          </w:p>
        </w:tc>
        <w:tc>
          <w:tcPr>
            <w:tcW w:w="0" w:type="auto"/>
            <w:vMerge/>
          </w:tcPr>
          <w:p w14:paraId="2790B780" w14:textId="77777777" w:rsidR="008C51F5" w:rsidRPr="00155C3A" w:rsidRDefault="008C51F5"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shd w:val="clear" w:color="auto" w:fill="F2DCDB"/>
            <w:vAlign w:val="center"/>
          </w:tcPr>
          <w:p w14:paraId="20EFB95F" w14:textId="25AE376B" w:rsidR="008C51F5" w:rsidRPr="00155C3A" w:rsidRDefault="008C51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8C51F5" w:rsidRPr="00155C3A" w14:paraId="31B3F4B7" w14:textId="77777777" w:rsidTr="000C47D7">
        <w:trPr>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36AE243" w14:textId="77777777" w:rsidR="008C51F5" w:rsidRPr="00155C3A" w:rsidRDefault="008C51F5" w:rsidP="000C47D7">
            <w:pPr>
              <w:rPr>
                <w:rFonts w:ascii="Arial" w:hAnsi="Arial" w:cs="Arial"/>
                <w:b w:val="0"/>
                <w:bCs w:val="0"/>
                <w:sz w:val="16"/>
                <w:szCs w:val="16"/>
              </w:rPr>
            </w:pPr>
          </w:p>
        </w:tc>
        <w:tc>
          <w:tcPr>
            <w:tcW w:w="0" w:type="auto"/>
            <w:vMerge/>
            <w:vAlign w:val="center"/>
          </w:tcPr>
          <w:p w14:paraId="4676FB42" w14:textId="77777777" w:rsidR="008C51F5" w:rsidRPr="00155C3A"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vAlign w:val="center"/>
          </w:tcPr>
          <w:p w14:paraId="5D91E16D" w14:textId="77777777" w:rsidR="008C51F5" w:rsidRPr="00155C3A"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Road Infrastructure</w:t>
            </w:r>
          </w:p>
        </w:tc>
        <w:tc>
          <w:tcPr>
            <w:tcW w:w="0" w:type="auto"/>
            <w:vMerge/>
          </w:tcPr>
          <w:p w14:paraId="24235BF8" w14:textId="77777777" w:rsidR="008C51F5" w:rsidRPr="00155C3A"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vAlign w:val="center"/>
          </w:tcPr>
          <w:p w14:paraId="65DEDC3D" w14:textId="7C31F8D1" w:rsidR="008C51F5" w:rsidRPr="00155C3A"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1A1DDB" w:rsidRPr="00155C3A" w14:paraId="1646BCF4" w14:textId="77777777" w:rsidTr="000C47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FBFE12D" w14:textId="77777777" w:rsidR="001A1DDB" w:rsidRPr="00155C3A" w:rsidRDefault="001A1DDB" w:rsidP="000C47D7">
            <w:pPr>
              <w:rPr>
                <w:rFonts w:ascii="Arial" w:hAnsi="Arial" w:cs="Arial"/>
                <w:b w:val="0"/>
                <w:bCs w:val="0"/>
                <w:sz w:val="16"/>
                <w:szCs w:val="16"/>
              </w:rPr>
            </w:pPr>
            <w:r w:rsidRPr="00155C3A">
              <w:rPr>
                <w:rFonts w:ascii="Arial" w:hAnsi="Arial" w:cs="Arial"/>
                <w:b w:val="0"/>
                <w:bCs w:val="0"/>
                <w:sz w:val="16"/>
                <w:szCs w:val="16"/>
              </w:rPr>
              <w:t>Land Preparation (site clearance, excavation and levelling), fencing, and civil works</w:t>
            </w:r>
          </w:p>
          <w:p w14:paraId="5F2E6D3D" w14:textId="77777777" w:rsidR="001A1DDB" w:rsidRPr="00155C3A" w:rsidRDefault="001A1DDB" w:rsidP="000C47D7">
            <w:pPr>
              <w:rPr>
                <w:rFonts w:ascii="Arial" w:hAnsi="Arial" w:cs="Arial"/>
                <w:b w:val="0"/>
                <w:bCs w:val="0"/>
                <w:sz w:val="16"/>
                <w:szCs w:val="16"/>
              </w:rPr>
            </w:pPr>
          </w:p>
          <w:p w14:paraId="13219A99" w14:textId="77777777" w:rsidR="001A1DDB" w:rsidRPr="00155C3A" w:rsidRDefault="001A1DDB" w:rsidP="000C47D7">
            <w:pPr>
              <w:rPr>
                <w:rFonts w:ascii="Arial" w:hAnsi="Arial" w:cs="Arial"/>
                <w:b w:val="0"/>
                <w:bCs w:val="0"/>
                <w:sz w:val="16"/>
                <w:szCs w:val="16"/>
              </w:rPr>
            </w:pPr>
            <w:r w:rsidRPr="00155C3A">
              <w:rPr>
                <w:rFonts w:ascii="Arial" w:hAnsi="Arial" w:cs="Arial"/>
                <w:b w:val="0"/>
                <w:bCs w:val="0"/>
                <w:sz w:val="16"/>
                <w:szCs w:val="16"/>
              </w:rPr>
              <w:t>Construction of turbine foundations, transmission line pylons, internal road, auxiliary works and turbine installation</w:t>
            </w:r>
          </w:p>
          <w:p w14:paraId="0B34A678" w14:textId="77777777" w:rsidR="001A1DDB" w:rsidRPr="00155C3A" w:rsidRDefault="001A1DDB" w:rsidP="000C47D7">
            <w:pPr>
              <w:rPr>
                <w:rFonts w:ascii="Arial" w:hAnsi="Arial" w:cs="Arial"/>
                <w:b w:val="0"/>
                <w:bCs w:val="0"/>
                <w:sz w:val="16"/>
                <w:szCs w:val="16"/>
              </w:rPr>
            </w:pPr>
          </w:p>
          <w:p w14:paraId="7DE2F69F" w14:textId="77777777" w:rsidR="001A1DDB" w:rsidRPr="00155C3A" w:rsidRDefault="001A1DDB" w:rsidP="000C47D7">
            <w:pPr>
              <w:rPr>
                <w:rFonts w:ascii="Arial" w:hAnsi="Arial" w:cs="Arial"/>
                <w:b w:val="0"/>
                <w:bCs w:val="0"/>
                <w:sz w:val="16"/>
                <w:szCs w:val="16"/>
              </w:rPr>
            </w:pPr>
            <w:r w:rsidRPr="00155C3A">
              <w:rPr>
                <w:rFonts w:ascii="Arial" w:hAnsi="Arial" w:cs="Arial"/>
                <w:b w:val="0"/>
                <w:bCs w:val="0"/>
                <w:sz w:val="16"/>
                <w:szCs w:val="16"/>
              </w:rPr>
              <w:t>Construction of associated 400 kV transmission lines – two double-circuit LEA lines (~0.3 km) and 8 towers</w:t>
            </w:r>
          </w:p>
          <w:p w14:paraId="071C3856" w14:textId="77777777" w:rsidR="001A1DDB" w:rsidRPr="00155C3A" w:rsidRDefault="001A1DDB" w:rsidP="000C47D7">
            <w:pPr>
              <w:rPr>
                <w:rFonts w:ascii="Arial" w:hAnsi="Arial" w:cs="Arial"/>
                <w:b w:val="0"/>
                <w:bCs w:val="0"/>
                <w:sz w:val="16"/>
                <w:szCs w:val="16"/>
              </w:rPr>
            </w:pPr>
          </w:p>
          <w:p w14:paraId="60A9F768" w14:textId="77777777" w:rsidR="001A1DDB" w:rsidRPr="00155C3A" w:rsidRDefault="001A1DDB" w:rsidP="000C47D7">
            <w:pPr>
              <w:rPr>
                <w:rFonts w:ascii="Arial" w:hAnsi="Arial" w:cs="Arial"/>
                <w:b w:val="0"/>
                <w:bCs w:val="0"/>
                <w:sz w:val="16"/>
                <w:szCs w:val="16"/>
              </w:rPr>
            </w:pPr>
            <w:r w:rsidRPr="00155C3A">
              <w:rPr>
                <w:rFonts w:ascii="Arial" w:hAnsi="Arial" w:cs="Arial"/>
                <w:b w:val="0"/>
                <w:bCs w:val="0"/>
                <w:sz w:val="16"/>
                <w:szCs w:val="16"/>
              </w:rPr>
              <w:t>Construction of associated additional access roads (new or widened roads inside project area)</w:t>
            </w:r>
          </w:p>
        </w:tc>
        <w:tc>
          <w:tcPr>
            <w:tcW w:w="0" w:type="auto"/>
            <w:vAlign w:val="center"/>
          </w:tcPr>
          <w:p w14:paraId="73854B83" w14:textId="77777777" w:rsidR="001A1DDB" w:rsidRPr="00155C3A"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Direct physical impacts on cultural heritage due to ground disturbance and construction activities</w:t>
            </w:r>
          </w:p>
        </w:tc>
        <w:tc>
          <w:tcPr>
            <w:tcW w:w="0" w:type="auto"/>
            <w:vAlign w:val="center"/>
          </w:tcPr>
          <w:p w14:paraId="5BAECEA8" w14:textId="77777777" w:rsidR="001A1DDB" w:rsidRPr="00155C3A"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Cultural Heritage</w:t>
            </w:r>
          </w:p>
        </w:tc>
        <w:tc>
          <w:tcPr>
            <w:tcW w:w="0" w:type="auto"/>
            <w:vMerge w:val="restart"/>
          </w:tcPr>
          <w:p w14:paraId="6F709A0B" w14:textId="06E75A44" w:rsidR="001A1DDB" w:rsidRPr="00155C3A"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 xml:space="preserve">Mitigation measures for cultural heritage focus on avoiding impacts through project design, managing known archaeological features, and addressing any unexpected discoveries during construction. Where possible, project infrastructure has been routed to avoid identified sites, while preventive archaeological investigations have been carried out in areas that could not be avoided. During construction, all ground-disturbing works will be subject to archaeological supervision, with clear procedures in place to stop works and adapt the design if significant findings are identified. A formal chance </w:t>
            </w:r>
            <w:proofErr w:type="gramStart"/>
            <w:r w:rsidRPr="00155C3A">
              <w:rPr>
                <w:rFonts w:ascii="Arial" w:hAnsi="Arial" w:cs="Arial"/>
                <w:sz w:val="16"/>
                <w:szCs w:val="16"/>
              </w:rPr>
              <w:t>finds</w:t>
            </w:r>
            <w:proofErr w:type="gramEnd"/>
            <w:r w:rsidRPr="00155C3A">
              <w:rPr>
                <w:rFonts w:ascii="Arial" w:hAnsi="Arial" w:cs="Arial"/>
                <w:sz w:val="16"/>
                <w:szCs w:val="16"/>
              </w:rPr>
              <w:t xml:space="preserve"> procedure will ensure that any unexpected discoveries are properly </w:t>
            </w:r>
            <w:proofErr w:type="gramStart"/>
            <w:r w:rsidRPr="00155C3A">
              <w:rPr>
                <w:rFonts w:ascii="Arial" w:hAnsi="Arial" w:cs="Arial"/>
                <w:sz w:val="16"/>
                <w:szCs w:val="16"/>
              </w:rPr>
              <w:t>managed</w:t>
            </w:r>
            <w:proofErr w:type="gramEnd"/>
            <w:r w:rsidRPr="00155C3A">
              <w:rPr>
                <w:rFonts w:ascii="Arial" w:hAnsi="Arial" w:cs="Arial"/>
                <w:sz w:val="16"/>
                <w:szCs w:val="16"/>
              </w:rPr>
              <w:t xml:space="preserve">. Contractors will be trained </w:t>
            </w:r>
            <w:proofErr w:type="gramStart"/>
            <w:r w:rsidRPr="00155C3A">
              <w:rPr>
                <w:rFonts w:ascii="Arial" w:hAnsi="Arial" w:cs="Arial"/>
                <w:sz w:val="16"/>
                <w:szCs w:val="16"/>
              </w:rPr>
              <w:t>on</w:t>
            </w:r>
            <w:proofErr w:type="gramEnd"/>
            <w:r w:rsidRPr="00155C3A">
              <w:rPr>
                <w:rFonts w:ascii="Arial" w:hAnsi="Arial" w:cs="Arial"/>
                <w:sz w:val="16"/>
                <w:szCs w:val="16"/>
              </w:rPr>
              <w:t xml:space="preserve"> cultural heritage protection, and continuous coordination with relevant authorities will be maintained. Measures will also be implemented to ensure that access to cultural and religious sites is preserved and that construction activities do not disrupt local cultural practices.</w:t>
            </w:r>
          </w:p>
        </w:tc>
        <w:tc>
          <w:tcPr>
            <w:tcW w:w="0" w:type="auto"/>
            <w:shd w:val="clear" w:color="auto" w:fill="E6B8B7"/>
            <w:vAlign w:val="center"/>
          </w:tcPr>
          <w:p w14:paraId="1CAC3A56" w14:textId="2830B3DB" w:rsidR="001A1DDB" w:rsidRPr="00155C3A"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Moderate</w:t>
            </w:r>
          </w:p>
        </w:tc>
      </w:tr>
      <w:tr w:rsidR="001A1DDB" w:rsidRPr="00155C3A" w14:paraId="30C87D8F" w14:textId="77777777" w:rsidTr="000C47D7">
        <w:trPr>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CB8999" w14:textId="77777777" w:rsidR="001A1DDB" w:rsidRPr="00155C3A" w:rsidRDefault="001A1DDB" w:rsidP="000C47D7">
            <w:pPr>
              <w:rPr>
                <w:rFonts w:ascii="Arial" w:hAnsi="Arial" w:cs="Arial"/>
                <w:b w:val="0"/>
                <w:bCs w:val="0"/>
                <w:sz w:val="16"/>
                <w:szCs w:val="16"/>
              </w:rPr>
            </w:pPr>
          </w:p>
        </w:tc>
        <w:tc>
          <w:tcPr>
            <w:tcW w:w="0" w:type="auto"/>
            <w:vMerge w:val="restart"/>
            <w:vAlign w:val="center"/>
          </w:tcPr>
          <w:p w14:paraId="456A8BD2" w14:textId="77777777" w:rsidR="001A1DDB" w:rsidRPr="00155C3A" w:rsidRDefault="001A1DDB"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Indirect impacts on cultural setting and access due to visual intrusion, dust deposition and temporary movement restrictions</w:t>
            </w:r>
          </w:p>
        </w:tc>
        <w:tc>
          <w:tcPr>
            <w:tcW w:w="0" w:type="auto"/>
            <w:vAlign w:val="center"/>
          </w:tcPr>
          <w:p w14:paraId="2382DDF1" w14:textId="77777777" w:rsidR="001A1DDB" w:rsidRPr="00155C3A" w:rsidRDefault="001A1DDB"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Cultural Heritage</w:t>
            </w:r>
          </w:p>
        </w:tc>
        <w:tc>
          <w:tcPr>
            <w:tcW w:w="0" w:type="auto"/>
            <w:vMerge/>
          </w:tcPr>
          <w:p w14:paraId="06F1FCF1" w14:textId="77777777" w:rsidR="001A1DDB" w:rsidRPr="00155C3A" w:rsidRDefault="001A1DDB"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vAlign w:val="center"/>
          </w:tcPr>
          <w:p w14:paraId="7A552DBC" w14:textId="30F37591" w:rsidR="001A1DDB" w:rsidRPr="00155C3A" w:rsidRDefault="001A1DDB"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1A1DDB" w:rsidRPr="00155C3A" w14:paraId="19FA25CF" w14:textId="77777777" w:rsidTr="000C47D7">
        <w:trPr>
          <w:cnfStyle w:val="000000100000" w:firstRow="0" w:lastRow="0" w:firstColumn="0" w:lastColumn="0" w:oddVBand="0" w:evenVBand="0" w:oddHBand="1" w:evenHBand="0" w:firstRowFirstColumn="0" w:firstRowLastColumn="0" w:lastRowFirstColumn="0" w:lastRowLastColumn="0"/>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D0277E2" w14:textId="77777777" w:rsidR="001A1DDB" w:rsidRPr="00155C3A" w:rsidRDefault="001A1DDB" w:rsidP="000C47D7">
            <w:pPr>
              <w:rPr>
                <w:rFonts w:ascii="Arial" w:hAnsi="Arial" w:cs="Arial"/>
                <w:b w:val="0"/>
                <w:bCs w:val="0"/>
                <w:sz w:val="16"/>
                <w:szCs w:val="16"/>
              </w:rPr>
            </w:pPr>
          </w:p>
        </w:tc>
        <w:tc>
          <w:tcPr>
            <w:tcW w:w="0" w:type="auto"/>
            <w:vMerge/>
            <w:vAlign w:val="center"/>
          </w:tcPr>
          <w:p w14:paraId="32BDE395" w14:textId="77777777" w:rsidR="001A1DDB" w:rsidRPr="00155C3A"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vAlign w:val="center"/>
          </w:tcPr>
          <w:p w14:paraId="39D093BC" w14:textId="02911B58" w:rsidR="001A1DDB" w:rsidRPr="00155C3A"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Intangible Cultural Heritage</w:t>
            </w:r>
          </w:p>
        </w:tc>
        <w:tc>
          <w:tcPr>
            <w:tcW w:w="0" w:type="auto"/>
            <w:vMerge/>
          </w:tcPr>
          <w:p w14:paraId="070C0A70" w14:textId="77777777" w:rsidR="001A1DDB" w:rsidRPr="00155C3A"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vAlign w:val="center"/>
          </w:tcPr>
          <w:p w14:paraId="1E3608BE" w14:textId="4BBC04AC" w:rsidR="001A1DDB" w:rsidRPr="00155C3A"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573644" w:rsidRPr="00155C3A" w14:paraId="4A09C839" w14:textId="77777777" w:rsidTr="000C47D7">
        <w:trPr>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323232" w:themeFill="text2"/>
            <w:vAlign w:val="center"/>
          </w:tcPr>
          <w:p w14:paraId="2E3F3610" w14:textId="4012E95B" w:rsidR="00573644" w:rsidRPr="00155C3A" w:rsidRDefault="00573644" w:rsidP="000C47D7">
            <w:pPr>
              <w:jc w:val="center"/>
              <w:rPr>
                <w:rFonts w:ascii="Arial" w:hAnsi="Arial" w:cs="Arial"/>
                <w:sz w:val="16"/>
                <w:szCs w:val="16"/>
              </w:rPr>
            </w:pPr>
            <w:r w:rsidRPr="00155C3A">
              <w:rPr>
                <w:rFonts w:ascii="Arial" w:hAnsi="Arial" w:cs="Arial"/>
                <w:sz w:val="16"/>
                <w:szCs w:val="16"/>
              </w:rPr>
              <w:t>Operational Phase</w:t>
            </w:r>
          </w:p>
        </w:tc>
      </w:tr>
      <w:tr w:rsidR="001F1C9F" w:rsidRPr="00155C3A" w14:paraId="1F879B89"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22A6F44" w14:textId="6760DE2D" w:rsidR="001F1C9F" w:rsidRPr="00155C3A" w:rsidRDefault="001F1C9F" w:rsidP="000C47D7">
            <w:pPr>
              <w:rPr>
                <w:rFonts w:ascii="Arial" w:hAnsi="Arial" w:cs="Arial"/>
                <w:b w:val="0"/>
                <w:bCs w:val="0"/>
                <w:sz w:val="16"/>
                <w:szCs w:val="16"/>
              </w:rPr>
            </w:pPr>
            <w:r w:rsidRPr="00155C3A">
              <w:rPr>
                <w:rFonts w:ascii="Arial" w:hAnsi="Arial" w:cs="Arial"/>
                <w:b w:val="0"/>
                <w:bCs w:val="0"/>
                <w:sz w:val="16"/>
                <w:szCs w:val="16"/>
              </w:rPr>
              <w:t>WTG Operation</w:t>
            </w:r>
          </w:p>
          <w:p w14:paraId="40FB743F" w14:textId="77777777" w:rsidR="001F1C9F" w:rsidRPr="00155C3A" w:rsidRDefault="001F1C9F" w:rsidP="000C47D7">
            <w:pPr>
              <w:rPr>
                <w:rFonts w:ascii="Arial" w:hAnsi="Arial" w:cs="Arial"/>
                <w:b w:val="0"/>
                <w:bCs w:val="0"/>
                <w:sz w:val="16"/>
                <w:szCs w:val="16"/>
              </w:rPr>
            </w:pPr>
            <w:r w:rsidRPr="00155C3A">
              <w:rPr>
                <w:rFonts w:ascii="Arial" w:hAnsi="Arial" w:cs="Arial"/>
                <w:b w:val="0"/>
                <w:bCs w:val="0"/>
                <w:sz w:val="16"/>
                <w:szCs w:val="16"/>
              </w:rPr>
              <w:t>WTG Inspection and Maintenance</w:t>
            </w:r>
          </w:p>
        </w:tc>
        <w:tc>
          <w:tcPr>
            <w:tcW w:w="0" w:type="auto"/>
            <w:vAlign w:val="center"/>
          </w:tcPr>
          <w:p w14:paraId="09A767FC" w14:textId="6DC260B5" w:rsidR="001F1C9F" w:rsidRPr="00155C3A" w:rsidRDefault="001F1C9F"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color w:val="000000" w:themeColor="text1"/>
                <w:sz w:val="16"/>
                <w:szCs w:val="16"/>
              </w:rPr>
              <w:t xml:space="preserve">Mortality due to collision with wind turbines </w:t>
            </w:r>
          </w:p>
        </w:tc>
        <w:tc>
          <w:tcPr>
            <w:tcW w:w="0" w:type="auto"/>
            <w:vAlign w:val="center"/>
          </w:tcPr>
          <w:p w14:paraId="396CFF03" w14:textId="59A64E2F" w:rsidR="001F1C9F" w:rsidRPr="00155C3A" w:rsidRDefault="001F1C9F"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6"/>
                <w:szCs w:val="16"/>
              </w:rPr>
            </w:pPr>
            <w:r w:rsidRPr="00155C3A">
              <w:rPr>
                <w:rFonts w:ascii="Arial" w:hAnsi="Arial" w:cs="Arial"/>
                <w:sz w:val="16"/>
                <w:szCs w:val="16"/>
                <w:lang w:val="it-IT"/>
              </w:rPr>
              <w:t>Birds and Bats</w:t>
            </w:r>
          </w:p>
        </w:tc>
        <w:tc>
          <w:tcPr>
            <w:tcW w:w="0" w:type="auto"/>
            <w:vMerge w:val="restart"/>
          </w:tcPr>
          <w:p w14:paraId="35CD91D1" w14:textId="77777777" w:rsidR="001F1C9F" w:rsidRPr="00155C3A" w:rsidRDefault="001F1C9F"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Mitigation measures during operation focus primarily on reducing collision risks for birds and bats. These include minimising turbine lighting to avoid attracting fauna, installing bird flight diverters and insulated overhead lines, and implementing advanced detection systems (e.g. camera-based shut-down-on-demand) to automatically slow down or stop turbines when birds are present. Additional measures include blade feathering and turbine curtailment during periods of high bat activity and low wind speeds. Continuous monitoring of bird and bat mortality will be carried out, supported by an adaptive management approach to further refine mitigation over time.</w:t>
            </w:r>
          </w:p>
          <w:p w14:paraId="64245A4A" w14:textId="2A5FCE80" w:rsidR="001F1C9F" w:rsidRPr="00155C3A" w:rsidRDefault="001F1C9F"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All other biodiversity measures—such as habitat restoration, control of invasive species, pollution prevention and general fauna protection—will be implemented through the Biodiversity Management Plan (BMP).</w:t>
            </w:r>
          </w:p>
        </w:tc>
        <w:tc>
          <w:tcPr>
            <w:tcW w:w="0" w:type="auto"/>
            <w:shd w:val="clear" w:color="auto" w:fill="E6B8B7"/>
            <w:vAlign w:val="center"/>
          </w:tcPr>
          <w:p w14:paraId="2838A110" w14:textId="6F3F22BB" w:rsidR="001F1C9F" w:rsidRPr="00155C3A" w:rsidRDefault="001F1C9F"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Moderate</w:t>
            </w:r>
          </w:p>
        </w:tc>
      </w:tr>
      <w:tr w:rsidR="001F1C9F" w:rsidRPr="00155C3A" w14:paraId="15813D8D"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669D81" w14:textId="77777777" w:rsidR="001F1C9F" w:rsidRPr="00155C3A" w:rsidRDefault="001F1C9F" w:rsidP="000C47D7">
            <w:pPr>
              <w:rPr>
                <w:rFonts w:ascii="Arial" w:hAnsi="Arial" w:cs="Arial"/>
                <w:b w:val="0"/>
                <w:bCs w:val="0"/>
                <w:sz w:val="16"/>
                <w:szCs w:val="16"/>
              </w:rPr>
            </w:pPr>
          </w:p>
        </w:tc>
        <w:tc>
          <w:tcPr>
            <w:tcW w:w="0" w:type="auto"/>
            <w:vAlign w:val="center"/>
          </w:tcPr>
          <w:p w14:paraId="6BB52352" w14:textId="0DD14E32" w:rsidR="001F1C9F" w:rsidRPr="00155C3A" w:rsidRDefault="001F1C9F"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color w:val="000000" w:themeColor="text1"/>
                <w:sz w:val="16"/>
                <w:szCs w:val="16"/>
              </w:rPr>
              <w:t>Mortality due to electrocution with overhead transmission line and pylons</w:t>
            </w:r>
          </w:p>
        </w:tc>
        <w:tc>
          <w:tcPr>
            <w:tcW w:w="0" w:type="auto"/>
            <w:vAlign w:val="center"/>
          </w:tcPr>
          <w:p w14:paraId="1F18E93E" w14:textId="31B185B1" w:rsidR="001F1C9F" w:rsidRPr="00155C3A" w:rsidRDefault="001F1C9F"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themeColor="background1"/>
                <w:sz w:val="16"/>
                <w:szCs w:val="16"/>
              </w:rPr>
            </w:pPr>
            <w:r w:rsidRPr="00155C3A">
              <w:rPr>
                <w:rFonts w:ascii="Arial" w:hAnsi="Arial" w:cs="Arial"/>
                <w:sz w:val="16"/>
                <w:szCs w:val="16"/>
                <w:lang w:val="it-IT"/>
              </w:rPr>
              <w:t>Birds and Bats</w:t>
            </w:r>
          </w:p>
        </w:tc>
        <w:tc>
          <w:tcPr>
            <w:tcW w:w="0" w:type="auto"/>
            <w:vMerge/>
          </w:tcPr>
          <w:p w14:paraId="60DF91B1" w14:textId="77777777" w:rsidR="001F1C9F" w:rsidRPr="00155C3A" w:rsidRDefault="001F1C9F"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vAlign w:val="center"/>
          </w:tcPr>
          <w:p w14:paraId="53524080" w14:textId="03DD6E5D" w:rsidR="001F1C9F" w:rsidRPr="00155C3A" w:rsidRDefault="001F1C9F"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D0687B" w:rsidRPr="00155C3A" w14:paraId="78174A71"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044E0" w14:textId="77777777" w:rsidR="00D0687B" w:rsidRPr="00155C3A" w:rsidRDefault="00D0687B" w:rsidP="000C47D7">
            <w:pPr>
              <w:rPr>
                <w:rFonts w:ascii="Arial" w:hAnsi="Arial" w:cs="Arial"/>
                <w:b w:val="0"/>
                <w:bCs w:val="0"/>
                <w:sz w:val="16"/>
                <w:szCs w:val="16"/>
              </w:rPr>
            </w:pPr>
          </w:p>
        </w:tc>
        <w:tc>
          <w:tcPr>
            <w:tcW w:w="0" w:type="auto"/>
            <w:vAlign w:val="center"/>
          </w:tcPr>
          <w:p w14:paraId="20AEFB1A" w14:textId="5D7BC52C" w:rsidR="00D0687B" w:rsidRPr="00155C3A" w:rsidRDefault="00D0687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Permanent economic displacement due to loss of land access within the Project footprint and safety buffer zones</w:t>
            </w:r>
          </w:p>
        </w:tc>
        <w:tc>
          <w:tcPr>
            <w:tcW w:w="0" w:type="auto"/>
            <w:vAlign w:val="center"/>
          </w:tcPr>
          <w:p w14:paraId="73E3D0FC" w14:textId="77777777" w:rsidR="00D0687B" w:rsidRPr="00155C3A" w:rsidRDefault="00D0687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Vulnerable and Disadvantaged Groups</w:t>
            </w:r>
          </w:p>
        </w:tc>
        <w:tc>
          <w:tcPr>
            <w:tcW w:w="0" w:type="auto"/>
          </w:tcPr>
          <w:p w14:paraId="7D6B98E8" w14:textId="69A67687" w:rsidR="007365A9" w:rsidRPr="00155C3A" w:rsidRDefault="007365A9"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Develop and implement a Livelihood Restoration Plan (LRP) aligned with IFC PS5/EBRD ESR5.</w:t>
            </w:r>
          </w:p>
          <w:p w14:paraId="21F56B21" w14:textId="42E18F6D" w:rsidR="00D0687B" w:rsidRPr="00155C3A" w:rsidRDefault="007365A9"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Ensure appropriate disclosure of information and consultation with affected people, including advance notice of construction activities and temporary access restrictions.</w:t>
            </w:r>
          </w:p>
        </w:tc>
        <w:tc>
          <w:tcPr>
            <w:tcW w:w="0" w:type="auto"/>
            <w:vAlign w:val="center"/>
          </w:tcPr>
          <w:p w14:paraId="0686AFEA" w14:textId="1364ED6F" w:rsidR="00D0687B" w:rsidRPr="00155C3A" w:rsidRDefault="00D0687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Negligible</w:t>
            </w:r>
          </w:p>
        </w:tc>
      </w:tr>
      <w:tr w:rsidR="001535F7" w:rsidRPr="00155C3A" w14:paraId="7A628644"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7ADFB57" w14:textId="122B308B" w:rsidR="001535F7" w:rsidRPr="00155C3A" w:rsidRDefault="001535F7" w:rsidP="000C47D7">
            <w:pPr>
              <w:rPr>
                <w:rFonts w:ascii="Arial" w:hAnsi="Arial" w:cs="Arial"/>
                <w:b w:val="0"/>
                <w:bCs w:val="0"/>
                <w:sz w:val="16"/>
                <w:szCs w:val="16"/>
              </w:rPr>
            </w:pPr>
            <w:r w:rsidRPr="00155C3A">
              <w:rPr>
                <w:rFonts w:ascii="Arial" w:hAnsi="Arial" w:cs="Arial"/>
                <w:b w:val="0"/>
                <w:bCs w:val="0"/>
                <w:sz w:val="16"/>
                <w:szCs w:val="16"/>
              </w:rPr>
              <w:t>WTG Operation</w:t>
            </w:r>
          </w:p>
        </w:tc>
        <w:tc>
          <w:tcPr>
            <w:tcW w:w="0" w:type="auto"/>
            <w:vMerge w:val="restart"/>
            <w:vAlign w:val="center"/>
          </w:tcPr>
          <w:p w14:paraId="288FFB98" w14:textId="77777777" w:rsidR="001535F7" w:rsidRPr="00155C3A"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Permanent vertical structures alter landscape character.</w:t>
            </w:r>
          </w:p>
        </w:tc>
        <w:tc>
          <w:tcPr>
            <w:tcW w:w="0" w:type="auto"/>
            <w:vAlign w:val="center"/>
          </w:tcPr>
          <w:p w14:paraId="36B3B888" w14:textId="77777777" w:rsidR="001535F7" w:rsidRPr="00155C3A"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Landscape (VP39)</w:t>
            </w:r>
          </w:p>
        </w:tc>
        <w:tc>
          <w:tcPr>
            <w:tcW w:w="0" w:type="auto"/>
            <w:vMerge w:val="restart"/>
          </w:tcPr>
          <w:p w14:paraId="7A2DFB0D" w14:textId="77777777" w:rsidR="001535F7" w:rsidRPr="00155C3A"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For Operational Phase impacts the following mitigation measures are proposed:</w:t>
            </w:r>
          </w:p>
          <w:p w14:paraId="51052093" w14:textId="379B0097" w:rsidR="001535F7" w:rsidRPr="00155C3A"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lastRenderedPageBreak/>
              <w:t>• Consider implementing small-scale landscape compensation projects such as green areas, scenic paths or upgraded public spaces, prioritising locations with highest significance visual exposure.</w:t>
            </w:r>
          </w:p>
          <w:p w14:paraId="4C9F05FB" w14:textId="5102658B" w:rsidR="001535F7" w:rsidRPr="00155C3A"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55C3A">
              <w:rPr>
                <w:rFonts w:ascii="Arial" w:hAnsi="Arial" w:cs="Arial"/>
                <w:sz w:val="16"/>
                <w:szCs w:val="16"/>
              </w:rPr>
              <w:t>• Engage with local communities through clear communication and agreed local benefits, supporting minor infrastructure or public services.</w:t>
            </w:r>
          </w:p>
        </w:tc>
        <w:tc>
          <w:tcPr>
            <w:tcW w:w="0" w:type="auto"/>
            <w:shd w:val="clear" w:color="auto" w:fill="F2DCDB"/>
            <w:vAlign w:val="center"/>
          </w:tcPr>
          <w:p w14:paraId="71EF0A14" w14:textId="0BE433AC" w:rsidR="001535F7" w:rsidRPr="00155C3A"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lastRenderedPageBreak/>
              <w:t>Low</w:t>
            </w:r>
          </w:p>
        </w:tc>
      </w:tr>
      <w:tr w:rsidR="001535F7" w:rsidRPr="00155C3A" w14:paraId="4A9132DC"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4B3289F" w14:textId="77777777" w:rsidR="001535F7" w:rsidRPr="00155C3A" w:rsidRDefault="001535F7" w:rsidP="000C47D7">
            <w:pPr>
              <w:rPr>
                <w:rFonts w:ascii="Arial" w:hAnsi="Arial" w:cs="Arial"/>
                <w:b w:val="0"/>
                <w:bCs w:val="0"/>
                <w:sz w:val="16"/>
                <w:szCs w:val="16"/>
              </w:rPr>
            </w:pPr>
          </w:p>
        </w:tc>
        <w:tc>
          <w:tcPr>
            <w:tcW w:w="0" w:type="auto"/>
            <w:vMerge/>
            <w:vAlign w:val="center"/>
          </w:tcPr>
          <w:p w14:paraId="582A1D9F" w14:textId="77777777" w:rsidR="001535F7" w:rsidRPr="00155C3A" w:rsidRDefault="001535F7"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vAlign w:val="center"/>
          </w:tcPr>
          <w:p w14:paraId="62BF5000" w14:textId="77777777" w:rsidR="001535F7" w:rsidRPr="00155C3A" w:rsidRDefault="001535F7"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Road users (along road DN3 – VP30)</w:t>
            </w:r>
          </w:p>
        </w:tc>
        <w:tc>
          <w:tcPr>
            <w:tcW w:w="0" w:type="auto"/>
            <w:vMerge/>
          </w:tcPr>
          <w:p w14:paraId="0D5F6F43" w14:textId="77777777" w:rsidR="001535F7" w:rsidRPr="00155C3A" w:rsidRDefault="001535F7"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0" w:type="auto"/>
            <w:shd w:val="clear" w:color="auto" w:fill="F2DCDB"/>
            <w:vAlign w:val="center"/>
          </w:tcPr>
          <w:p w14:paraId="04A50A85" w14:textId="3DC36DFE" w:rsidR="001535F7" w:rsidRPr="00155C3A" w:rsidRDefault="001535F7"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1535F7" w:rsidRPr="00155C3A" w14:paraId="0B34F940"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F58F1A5" w14:textId="77777777" w:rsidR="001535F7" w:rsidRPr="00155C3A" w:rsidRDefault="001535F7" w:rsidP="000C47D7">
            <w:pPr>
              <w:rPr>
                <w:rFonts w:ascii="Arial" w:hAnsi="Arial" w:cs="Arial"/>
                <w:b w:val="0"/>
                <w:bCs w:val="0"/>
                <w:sz w:val="16"/>
                <w:szCs w:val="16"/>
              </w:rPr>
            </w:pPr>
          </w:p>
        </w:tc>
        <w:tc>
          <w:tcPr>
            <w:tcW w:w="0" w:type="auto"/>
            <w:vMerge/>
            <w:vAlign w:val="center"/>
          </w:tcPr>
          <w:p w14:paraId="523B2AF8" w14:textId="77777777" w:rsidR="001535F7" w:rsidRPr="00155C3A"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vAlign w:val="center"/>
          </w:tcPr>
          <w:p w14:paraId="42EC58BD" w14:textId="77777777" w:rsidR="001535F7" w:rsidRPr="00155C3A"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Recreational sites (VP25)</w:t>
            </w:r>
          </w:p>
        </w:tc>
        <w:tc>
          <w:tcPr>
            <w:tcW w:w="0" w:type="auto"/>
            <w:vMerge/>
          </w:tcPr>
          <w:p w14:paraId="46B01397" w14:textId="77777777" w:rsidR="001535F7" w:rsidRPr="00155C3A"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0" w:type="auto"/>
            <w:shd w:val="clear" w:color="auto" w:fill="F2DCDB"/>
            <w:vAlign w:val="center"/>
          </w:tcPr>
          <w:p w14:paraId="706FC712" w14:textId="3A616D6F" w:rsidR="001535F7" w:rsidRPr="00155C3A"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r w:rsidR="00EF6CF5" w:rsidRPr="00155C3A" w14:paraId="5ECD2A1A"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8D99065" w14:textId="77777777" w:rsidR="00EF6CF5" w:rsidRPr="00155C3A" w:rsidRDefault="00EF6CF5" w:rsidP="000C47D7">
            <w:pPr>
              <w:rPr>
                <w:rFonts w:ascii="Arial" w:hAnsi="Arial" w:cs="Arial"/>
                <w:b w:val="0"/>
                <w:bCs w:val="0"/>
                <w:sz w:val="16"/>
                <w:szCs w:val="16"/>
              </w:rPr>
            </w:pPr>
          </w:p>
        </w:tc>
        <w:tc>
          <w:tcPr>
            <w:tcW w:w="0" w:type="auto"/>
            <w:vAlign w:val="center"/>
          </w:tcPr>
          <w:p w14:paraId="1D852220" w14:textId="77777777" w:rsidR="00EF6CF5" w:rsidRPr="00155C3A" w:rsidRDefault="00EF6CF5"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Visual and health disturbance due to shadow flickering effects</w:t>
            </w:r>
          </w:p>
        </w:tc>
        <w:tc>
          <w:tcPr>
            <w:tcW w:w="0" w:type="auto"/>
            <w:vAlign w:val="center"/>
          </w:tcPr>
          <w:p w14:paraId="177AD848" w14:textId="77777777" w:rsidR="00EF6CF5" w:rsidRPr="00155C3A" w:rsidRDefault="00EF6C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sz w:val="16"/>
                <w:szCs w:val="16"/>
              </w:rPr>
              <w:t>Residential clusters – shadow flicker</w:t>
            </w:r>
          </w:p>
        </w:tc>
        <w:tc>
          <w:tcPr>
            <w:tcW w:w="0" w:type="auto"/>
          </w:tcPr>
          <w:p w14:paraId="4DA7D13D" w14:textId="566045FC" w:rsidR="00EF6CF5" w:rsidRPr="00155C3A"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55C3A">
              <w:rPr>
                <w:rFonts w:ascii="Arial" w:hAnsi="Arial" w:cs="Arial"/>
                <w:sz w:val="16"/>
                <w:szCs w:val="16"/>
              </w:rPr>
              <w:t>Mitigation measures aim to ensure that shadow flicker remains within acceptable levels through refined assessments and adaptive management. Detailed modelling will be carried out for the most affected receptors using site-specific data. A grievance mechanism will allow ongoing monitoring through community feedback, and, where necessary, additional measures will be implemented, such as improving natural or artificial screening or temporarily adjusting turbine operation during critical periods.</w:t>
            </w:r>
          </w:p>
        </w:tc>
        <w:tc>
          <w:tcPr>
            <w:tcW w:w="0" w:type="auto"/>
            <w:shd w:val="clear" w:color="auto" w:fill="F2DCDB"/>
            <w:vAlign w:val="center"/>
          </w:tcPr>
          <w:p w14:paraId="104FC1DE" w14:textId="6C81E129" w:rsidR="00EF6CF5" w:rsidRPr="00155C3A" w:rsidRDefault="00EF6C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55C3A">
              <w:rPr>
                <w:rFonts w:ascii="Arial" w:hAnsi="Arial" w:cs="Arial"/>
                <w:b/>
                <w:bCs/>
                <w:sz w:val="16"/>
                <w:szCs w:val="16"/>
              </w:rPr>
              <w:t>Low</w:t>
            </w:r>
          </w:p>
        </w:tc>
      </w:tr>
    </w:tbl>
    <w:p w14:paraId="283C4786" w14:textId="77777777" w:rsidR="00463D57" w:rsidRPr="00155C3A" w:rsidRDefault="00463D57" w:rsidP="00463D57">
      <w:pPr>
        <w:pStyle w:val="Heading1"/>
        <w:ind w:left="454" w:hanging="454"/>
        <w:rPr>
          <w:rFonts w:ascii="Arial" w:hAnsi="Arial" w:cs="Arial"/>
        </w:rPr>
      </w:pPr>
      <w:bookmarkStart w:id="44" w:name="_Toc229650189"/>
      <w:r w:rsidRPr="00155C3A">
        <w:rPr>
          <w:rFonts w:ascii="Arial" w:hAnsi="Arial" w:cs="Arial"/>
        </w:rPr>
        <w:t>Other Assessments (Summary)</w:t>
      </w:r>
      <w:bookmarkEnd w:id="44"/>
    </w:p>
    <w:p w14:paraId="2B90B4BA" w14:textId="77777777" w:rsidR="00463D57" w:rsidRPr="00155C3A" w:rsidRDefault="00463D57" w:rsidP="00463D57">
      <w:pPr>
        <w:pStyle w:val="BodyText"/>
        <w:rPr>
          <w:rFonts w:ascii="Arial" w:hAnsi="Arial" w:cs="Arial"/>
        </w:rPr>
      </w:pPr>
      <w:r w:rsidRPr="00155C3A">
        <w:rPr>
          <w:rFonts w:ascii="Arial" w:hAnsi="Arial" w:cs="Arial"/>
        </w:rPr>
        <w:t xml:space="preserve">The table below </w:t>
      </w:r>
      <w:proofErr w:type="spellStart"/>
      <w:r w:rsidRPr="00155C3A">
        <w:rPr>
          <w:rFonts w:ascii="Arial" w:hAnsi="Arial" w:cs="Arial"/>
        </w:rPr>
        <w:t>summarises</w:t>
      </w:r>
      <w:proofErr w:type="spellEnd"/>
      <w:r w:rsidRPr="00155C3A">
        <w:rPr>
          <w:rFonts w:ascii="Arial" w:hAnsi="Arial" w:cs="Arial"/>
        </w:rPr>
        <w:t xml:space="preserve"> the key findings of additional assessments carried out for the Project, including unplanned events, cumulative impacts, human rights and climate change. Overall, no significant unmanaged risks have been identified, and all impacts are considered acceptable with the mitigation measures in place.</w:t>
      </w:r>
    </w:p>
    <w:tbl>
      <w:tblPr>
        <w:tblStyle w:val="ListTable3-Accent4"/>
        <w:tblW w:w="0" w:type="auto"/>
        <w:tblLook w:val="04A0" w:firstRow="1" w:lastRow="0" w:firstColumn="1" w:lastColumn="0" w:noHBand="0" w:noVBand="1"/>
      </w:tblPr>
      <w:tblGrid>
        <w:gridCol w:w="1596"/>
        <w:gridCol w:w="8309"/>
      </w:tblGrid>
      <w:tr w:rsidR="00463D57" w:rsidRPr="00155C3A" w14:paraId="2F0A6FAA" w14:textId="77777777" w:rsidTr="00C535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550DEE4C" w14:textId="77777777" w:rsidR="00463D57" w:rsidRPr="00155C3A" w:rsidRDefault="00463D57" w:rsidP="004F6C54">
            <w:pPr>
              <w:pStyle w:val="BodyText"/>
              <w:spacing w:line="240" w:lineRule="auto"/>
              <w:rPr>
                <w:rFonts w:ascii="Arial" w:hAnsi="Arial" w:cs="Arial"/>
              </w:rPr>
            </w:pPr>
            <w:r w:rsidRPr="00155C3A">
              <w:rPr>
                <w:rFonts w:ascii="Arial" w:hAnsi="Arial" w:cs="Arial"/>
              </w:rPr>
              <w:t>Topic</w:t>
            </w:r>
          </w:p>
        </w:tc>
        <w:tc>
          <w:tcPr>
            <w:tcW w:w="0" w:type="auto"/>
            <w:hideMark/>
          </w:tcPr>
          <w:p w14:paraId="127BB639" w14:textId="77777777" w:rsidR="00463D57" w:rsidRPr="00155C3A" w:rsidRDefault="00463D57" w:rsidP="004F6C54">
            <w:pPr>
              <w:pStyle w:val="BodyText"/>
              <w:spacing w:line="240"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Summary of Findings</w:t>
            </w:r>
          </w:p>
        </w:tc>
      </w:tr>
      <w:tr w:rsidR="00463D57" w:rsidRPr="00155C3A" w14:paraId="61A4353C" w14:textId="77777777" w:rsidTr="00C53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6AA71F" w14:textId="77777777" w:rsidR="00463D57" w:rsidRPr="00155C3A" w:rsidRDefault="00463D57" w:rsidP="004F6C54">
            <w:pPr>
              <w:pStyle w:val="BodyText"/>
              <w:spacing w:line="240" w:lineRule="auto"/>
              <w:rPr>
                <w:rFonts w:ascii="Arial" w:hAnsi="Arial" w:cs="Arial"/>
              </w:rPr>
            </w:pPr>
            <w:r w:rsidRPr="00155C3A">
              <w:rPr>
                <w:rFonts w:ascii="Arial" w:hAnsi="Arial" w:cs="Arial"/>
              </w:rPr>
              <w:t>Unplanned Events</w:t>
            </w:r>
          </w:p>
        </w:tc>
        <w:tc>
          <w:tcPr>
            <w:tcW w:w="0" w:type="auto"/>
            <w:hideMark/>
          </w:tcPr>
          <w:p w14:paraId="1C9A2C5A" w14:textId="77777777" w:rsidR="00463D57" w:rsidRPr="00155C3A" w:rsidRDefault="00463D57" w:rsidP="004F6C54">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Most potential incidents (e.g. minor spills, waste issues, construction events) are expected to have low to moderate residual impacts due to existing management measures. Rare but severe events (e.g. fire, accidents, equipment failure) may have higher consequences but are very unlikely. A comprehensive risk management framework (including safety systems, emergency response plans and monitoring) ensures all risks remain acceptable and controlled.</w:t>
            </w:r>
          </w:p>
        </w:tc>
      </w:tr>
      <w:tr w:rsidR="00463D57" w:rsidRPr="00155C3A" w14:paraId="083A6126" w14:textId="77777777" w:rsidTr="00C535A9">
        <w:tc>
          <w:tcPr>
            <w:cnfStyle w:val="001000000000" w:firstRow="0" w:lastRow="0" w:firstColumn="1" w:lastColumn="0" w:oddVBand="0" w:evenVBand="0" w:oddHBand="0" w:evenHBand="0" w:firstRowFirstColumn="0" w:firstRowLastColumn="0" w:lastRowFirstColumn="0" w:lastRowLastColumn="0"/>
            <w:tcW w:w="0" w:type="auto"/>
            <w:hideMark/>
          </w:tcPr>
          <w:p w14:paraId="739B3601" w14:textId="77777777" w:rsidR="00463D57" w:rsidRPr="00155C3A" w:rsidRDefault="00463D57" w:rsidP="004F6C54">
            <w:pPr>
              <w:pStyle w:val="BodyText"/>
              <w:spacing w:line="240" w:lineRule="auto"/>
              <w:rPr>
                <w:rFonts w:ascii="Arial" w:hAnsi="Arial" w:cs="Arial"/>
              </w:rPr>
            </w:pPr>
            <w:r w:rsidRPr="00155C3A">
              <w:rPr>
                <w:rFonts w:ascii="Arial" w:hAnsi="Arial" w:cs="Arial"/>
              </w:rPr>
              <w:t>Cumulative Impacts</w:t>
            </w:r>
          </w:p>
        </w:tc>
        <w:tc>
          <w:tcPr>
            <w:tcW w:w="0" w:type="auto"/>
            <w:hideMark/>
          </w:tcPr>
          <w:p w14:paraId="2025E61A" w14:textId="77777777" w:rsidR="00F32072" w:rsidRPr="00F32072" w:rsidRDefault="00F32072" w:rsidP="00F32072">
            <w:pPr>
              <w:pStyle w:val="BodyText"/>
              <w:cnfStyle w:val="000000000000" w:firstRow="0" w:lastRow="0" w:firstColumn="0" w:lastColumn="0" w:oddVBand="0" w:evenVBand="0" w:oddHBand="0" w:evenHBand="0" w:firstRowFirstColumn="0" w:firstRowLastColumn="0" w:lastRowFirstColumn="0" w:lastRowLastColumn="0"/>
              <w:rPr>
                <w:rFonts w:ascii="Arial" w:hAnsi="Arial" w:cs="Arial"/>
              </w:rPr>
            </w:pPr>
            <w:r w:rsidRPr="00F32072">
              <w:rPr>
                <w:rFonts w:ascii="Arial" w:hAnsi="Arial" w:cs="Arial"/>
              </w:rPr>
              <w:t>A Cumulative Impact Assessment was carried out to understand how the Project may interact with other existing, approved and reasonably foreseeable developments in the wider area. The assessment considered combined pressures on environmental and social receptors, including biodiversity, birds and bats, traffic, noise and landscape/visual receptors.</w:t>
            </w:r>
          </w:p>
          <w:p w14:paraId="68F92678" w14:textId="77777777" w:rsidR="00F32072" w:rsidRPr="00F32072" w:rsidRDefault="00F32072" w:rsidP="00F32072">
            <w:pPr>
              <w:pStyle w:val="BodyText"/>
              <w:cnfStyle w:val="000000000000" w:firstRow="0" w:lastRow="0" w:firstColumn="0" w:lastColumn="0" w:oddVBand="0" w:evenVBand="0" w:oddHBand="0" w:evenHBand="0" w:firstRowFirstColumn="0" w:firstRowLastColumn="0" w:lastRowFirstColumn="0" w:lastRowLastColumn="0"/>
              <w:rPr>
                <w:rFonts w:ascii="Arial" w:hAnsi="Arial" w:cs="Arial"/>
              </w:rPr>
            </w:pPr>
            <w:r w:rsidRPr="00F32072">
              <w:rPr>
                <w:rFonts w:ascii="Arial" w:hAnsi="Arial" w:cs="Arial"/>
              </w:rPr>
              <w:t>The Project is not expected to be a major driver of cumulative impacts in the region. Minor cumulative effects may occur where construction activities overlap with other developments or where birds, bats and landscape receptors are affected by more than one project. These effects will be managed through the ESIA mitigation measures, biodiversity monitoring, traffic planning, data sharing where relevant, and coordination with other developers. Overall, cumulative impacts are expected to be low or negligible after mitigation.</w:t>
            </w:r>
          </w:p>
          <w:p w14:paraId="2473C431" w14:textId="0646E5E5" w:rsidR="00463D57" w:rsidRPr="00155C3A" w:rsidRDefault="00463D57" w:rsidP="004F6C54">
            <w:pPr>
              <w:pStyle w:val="BodyText"/>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463D57" w:rsidRPr="00155C3A" w14:paraId="4F028BA3" w14:textId="77777777" w:rsidTr="00C53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AD9E02" w14:textId="77777777" w:rsidR="00463D57" w:rsidRPr="00155C3A" w:rsidRDefault="00463D57" w:rsidP="004F6C54">
            <w:pPr>
              <w:pStyle w:val="BodyText"/>
              <w:spacing w:line="240" w:lineRule="auto"/>
              <w:rPr>
                <w:rFonts w:ascii="Arial" w:hAnsi="Arial" w:cs="Arial"/>
              </w:rPr>
            </w:pPr>
            <w:r w:rsidRPr="00155C3A">
              <w:rPr>
                <w:rFonts w:ascii="Arial" w:hAnsi="Arial" w:cs="Arial"/>
              </w:rPr>
              <w:lastRenderedPageBreak/>
              <w:t>Human Rights</w:t>
            </w:r>
          </w:p>
        </w:tc>
        <w:tc>
          <w:tcPr>
            <w:tcW w:w="0" w:type="auto"/>
            <w:hideMark/>
          </w:tcPr>
          <w:p w14:paraId="19939D34" w14:textId="77777777" w:rsidR="00463D57" w:rsidRPr="00155C3A" w:rsidRDefault="00463D57" w:rsidP="004F6C54">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Potential risks are mainly linked to general country and sector conditions rather than project-specific issues. These include </w:t>
            </w:r>
            <w:proofErr w:type="spellStart"/>
            <w:r w:rsidRPr="00155C3A">
              <w:rPr>
                <w:rFonts w:ascii="Arial" w:hAnsi="Arial" w:cs="Arial"/>
              </w:rPr>
              <w:t>labour</w:t>
            </w:r>
            <w:proofErr w:type="spellEnd"/>
            <w:r w:rsidRPr="00155C3A">
              <w:rPr>
                <w:rFonts w:ascii="Arial" w:hAnsi="Arial" w:cs="Arial"/>
              </w:rPr>
              <w:t xml:space="preserve"> conditions, discrimination and supply-chain risks. The Project will implement policies aligned with international standards (e.g. </w:t>
            </w:r>
            <w:proofErr w:type="spellStart"/>
            <w:r w:rsidRPr="00155C3A">
              <w:rPr>
                <w:rFonts w:ascii="Arial" w:hAnsi="Arial" w:cs="Arial"/>
              </w:rPr>
              <w:t>labour</w:t>
            </w:r>
            <w:proofErr w:type="spellEnd"/>
            <w:r w:rsidRPr="00155C3A">
              <w:rPr>
                <w:rFonts w:ascii="Arial" w:hAnsi="Arial" w:cs="Arial"/>
              </w:rPr>
              <w:t xml:space="preserve"> management, H&amp;S, grievance mechanisms), reducing risks to low levels overall. Some supply chain risks remain moderate but managed through due diligence and monitoring.</w:t>
            </w:r>
          </w:p>
        </w:tc>
      </w:tr>
      <w:tr w:rsidR="00463D57" w:rsidRPr="00155C3A" w14:paraId="11732BFF" w14:textId="77777777" w:rsidTr="00C535A9">
        <w:tc>
          <w:tcPr>
            <w:cnfStyle w:val="001000000000" w:firstRow="0" w:lastRow="0" w:firstColumn="1" w:lastColumn="0" w:oddVBand="0" w:evenVBand="0" w:oddHBand="0" w:evenHBand="0" w:firstRowFirstColumn="0" w:firstRowLastColumn="0" w:lastRowFirstColumn="0" w:lastRowLastColumn="0"/>
            <w:tcW w:w="0" w:type="auto"/>
            <w:hideMark/>
          </w:tcPr>
          <w:p w14:paraId="2FB3CB73" w14:textId="77777777" w:rsidR="00463D57" w:rsidRPr="00155C3A" w:rsidRDefault="00463D57" w:rsidP="004F6C54">
            <w:pPr>
              <w:pStyle w:val="BodyText"/>
              <w:spacing w:line="240" w:lineRule="auto"/>
              <w:rPr>
                <w:rFonts w:ascii="Arial" w:hAnsi="Arial" w:cs="Arial"/>
              </w:rPr>
            </w:pPr>
            <w:r w:rsidRPr="00155C3A">
              <w:rPr>
                <w:rFonts w:ascii="Arial" w:hAnsi="Arial" w:cs="Arial"/>
              </w:rPr>
              <w:t>Climate Change</w:t>
            </w:r>
          </w:p>
        </w:tc>
        <w:tc>
          <w:tcPr>
            <w:tcW w:w="0" w:type="auto"/>
            <w:hideMark/>
          </w:tcPr>
          <w:p w14:paraId="1F90CF73" w14:textId="77777777" w:rsidR="00463D57" w:rsidRPr="00155C3A" w:rsidRDefault="00463D57" w:rsidP="004F6C54">
            <w:pPr>
              <w:pStyle w:val="BodyText"/>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The Project makes a positive contribution to climate mitigation by generating renewable energy and reducing emissions. Physical climate risks (e.g. extreme weather) are manageable through design and operational measures. Transition risks are negligible, and overall climate-related risks are expected to remain low and acceptable.</w:t>
            </w:r>
          </w:p>
        </w:tc>
      </w:tr>
    </w:tbl>
    <w:p w14:paraId="1E5E4B51" w14:textId="73A07349" w:rsidR="0076162C" w:rsidRDefault="00970540" w:rsidP="002F7715">
      <w:pPr>
        <w:pStyle w:val="Heading1"/>
        <w:ind w:left="454" w:hanging="454"/>
        <w:rPr>
          <w:rFonts w:ascii="Arial" w:hAnsi="Arial" w:cs="Arial"/>
        </w:rPr>
      </w:pPr>
      <w:bookmarkStart w:id="45" w:name="_Toc229650190"/>
      <w:r>
        <w:rPr>
          <w:rFonts w:ascii="Arial" w:hAnsi="Arial" w:cs="Arial"/>
        </w:rPr>
        <w:t>Noise Assessment summary</w:t>
      </w:r>
      <w:bookmarkEnd w:id="45"/>
      <w:r>
        <w:rPr>
          <w:rFonts w:ascii="Arial" w:hAnsi="Arial" w:cs="Arial"/>
        </w:rPr>
        <w:t xml:space="preserve"> </w:t>
      </w:r>
    </w:p>
    <w:p w14:paraId="0B8AAA9A" w14:textId="77777777" w:rsidR="00CC5727" w:rsidRDefault="00CC5727" w:rsidP="00CC5727"/>
    <w:p w14:paraId="0326E41B" w14:textId="68EE2ED9" w:rsidR="00CC5727" w:rsidRPr="00FA5900" w:rsidRDefault="00CC5727" w:rsidP="00FA5900">
      <w:pPr>
        <w:pStyle w:val="BodyText"/>
        <w:rPr>
          <w:rFonts w:ascii="Arial" w:hAnsi="Arial" w:cs="Arial"/>
        </w:rPr>
      </w:pPr>
      <w:r w:rsidRPr="00FA5900">
        <w:rPr>
          <w:rFonts w:ascii="Arial" w:hAnsi="Arial" w:cs="Arial"/>
        </w:rPr>
        <w:t xml:space="preserve">A noise assessment was carried out for both construction and operation. During construction, noise will mainly be generated by earthworks, road upgrades, foundation works, construction traffic and equipment use. These impacts are expected to be temporary and will be managed through standard good practice measures, including maintaining equipment, limiting unnecessary engine idling, planning vehicle movements and restricting </w:t>
      </w:r>
      <w:r w:rsidR="00A31304" w:rsidRPr="00A31304">
        <w:rPr>
          <w:rFonts w:ascii="Arial" w:hAnsi="Arial" w:cs="Arial"/>
        </w:rPr>
        <w:t>high noise</w:t>
      </w:r>
      <w:r w:rsidRPr="00FA5900">
        <w:rPr>
          <w:rFonts w:ascii="Arial" w:hAnsi="Arial" w:cs="Arial"/>
        </w:rPr>
        <w:t xml:space="preserve"> works where required.</w:t>
      </w:r>
    </w:p>
    <w:p w14:paraId="52DCABCA" w14:textId="1488358F" w:rsidR="00CC5727" w:rsidRPr="00701336" w:rsidRDefault="00B21BCA" w:rsidP="00FA5900">
      <w:pPr>
        <w:pStyle w:val="BodyText"/>
        <w:rPr>
          <w:rFonts w:ascii="Arial" w:hAnsi="Arial" w:cs="Arial"/>
        </w:rPr>
      </w:pPr>
      <w:r w:rsidRPr="00FA5900">
        <w:rPr>
          <w:rFonts w:ascii="Arial" w:hAnsi="Arial" w:cs="Arial"/>
        </w:rPr>
        <w:t xml:space="preserve">During operation, turbine noise was assessed at nearby noise-sensitive receptors against applicable Romanian and World Bank Group EHS Guideline limits. The operational noise modelling concluded that predicted noise levels are within the applicable limits of 55 dB(A) during the day and 45 dB(A) at night. The highest predicted level was 41.4 dB(A), which remains below the night-time limit. Operational noise impacts are therefore expected to be low. If noise complaints are received, they will be investigated through the Project grievance </w:t>
      </w:r>
      <w:r w:rsidR="00A31304" w:rsidRPr="00A31304">
        <w:rPr>
          <w:rFonts w:ascii="Arial" w:hAnsi="Arial" w:cs="Arial"/>
        </w:rPr>
        <w:t>mechanism,</w:t>
      </w:r>
      <w:r w:rsidRPr="00FA5900">
        <w:rPr>
          <w:rFonts w:ascii="Arial" w:hAnsi="Arial" w:cs="Arial"/>
        </w:rPr>
        <w:t xml:space="preserve"> and additional mitigation will be implemented where necessary.</w:t>
      </w:r>
    </w:p>
    <w:p w14:paraId="44D1BEEE" w14:textId="78EFB0CB" w:rsidR="002F7715" w:rsidRPr="00155C3A" w:rsidRDefault="002F7715" w:rsidP="002F7715">
      <w:pPr>
        <w:pStyle w:val="Heading1"/>
        <w:ind w:left="454" w:hanging="454"/>
        <w:rPr>
          <w:rFonts w:ascii="Arial" w:hAnsi="Arial" w:cs="Arial"/>
        </w:rPr>
      </w:pPr>
      <w:bookmarkStart w:id="46" w:name="_Toc229650191"/>
      <w:r w:rsidRPr="00155C3A">
        <w:rPr>
          <w:rFonts w:ascii="Arial" w:hAnsi="Arial" w:cs="Arial"/>
        </w:rPr>
        <w:t>Environmental and Social Management</w:t>
      </w:r>
      <w:bookmarkEnd w:id="46"/>
    </w:p>
    <w:p w14:paraId="3D969863" w14:textId="77777777" w:rsidR="002F7715" w:rsidRPr="00155C3A" w:rsidRDefault="002F7715" w:rsidP="002F7715">
      <w:pPr>
        <w:pStyle w:val="Heading2"/>
        <w:ind w:left="680" w:hanging="680"/>
        <w:rPr>
          <w:rFonts w:ascii="Arial" w:hAnsi="Arial" w:cs="Arial"/>
        </w:rPr>
      </w:pPr>
      <w:bookmarkStart w:id="47" w:name="_Toc229650192"/>
      <w:r w:rsidRPr="00155C3A">
        <w:rPr>
          <w:rFonts w:ascii="Arial" w:hAnsi="Arial" w:cs="Arial"/>
        </w:rPr>
        <w:t>Approach to Environmental and Social Management</w:t>
      </w:r>
      <w:bookmarkEnd w:id="47"/>
    </w:p>
    <w:p w14:paraId="5560E555" w14:textId="77777777" w:rsidR="002F7715" w:rsidRPr="00155C3A" w:rsidRDefault="002F7715" w:rsidP="002F7715">
      <w:pPr>
        <w:pStyle w:val="BodyText"/>
        <w:rPr>
          <w:rFonts w:ascii="Arial" w:hAnsi="Arial" w:cs="Arial"/>
        </w:rPr>
      </w:pPr>
      <w:r w:rsidRPr="00155C3A">
        <w:rPr>
          <w:rFonts w:ascii="Arial" w:hAnsi="Arial" w:cs="Arial"/>
        </w:rPr>
        <w:t>The Project will be implemented in accordance with a comprehensive Environmental and Social Management Plan (ESMP), which defines how environmental and social risks and impacts will be managed throughout all phases of the Project.</w:t>
      </w:r>
    </w:p>
    <w:p w14:paraId="014ABFC8" w14:textId="77777777" w:rsidR="002F7715" w:rsidRPr="00155C3A" w:rsidRDefault="002F7715" w:rsidP="002F7715">
      <w:pPr>
        <w:pStyle w:val="BodyText"/>
        <w:rPr>
          <w:rFonts w:ascii="Arial" w:hAnsi="Arial" w:cs="Arial"/>
        </w:rPr>
      </w:pPr>
      <w:r w:rsidRPr="00155C3A">
        <w:rPr>
          <w:rFonts w:ascii="Arial" w:hAnsi="Arial" w:cs="Arial"/>
        </w:rPr>
        <w:t>The ESMP is aligned with Romanian legislation and international standards (including IFC and EBRD requirements) and translates the findings of the ESIA into practical actions, procedures and monitoring activities.</w:t>
      </w:r>
    </w:p>
    <w:p w14:paraId="2BABFD3A" w14:textId="77777777" w:rsidR="002F7715" w:rsidRPr="00155C3A" w:rsidRDefault="002F7715" w:rsidP="002F7715">
      <w:pPr>
        <w:pStyle w:val="BodyText"/>
        <w:rPr>
          <w:rFonts w:ascii="Arial" w:hAnsi="Arial" w:cs="Arial"/>
        </w:rPr>
      </w:pPr>
      <w:r w:rsidRPr="00155C3A">
        <w:rPr>
          <w:rFonts w:ascii="Arial" w:hAnsi="Arial" w:cs="Arial"/>
        </w:rPr>
        <w:t>It covers all Project phases—construction, operation and decommissioning—and defines:</w:t>
      </w:r>
    </w:p>
    <w:p w14:paraId="001E5BF0" w14:textId="77777777" w:rsidR="002F7715" w:rsidRPr="00155C3A" w:rsidRDefault="002F7715" w:rsidP="000A0BF0">
      <w:pPr>
        <w:pStyle w:val="BodyText"/>
        <w:numPr>
          <w:ilvl w:val="0"/>
          <w:numId w:val="33"/>
        </w:numPr>
        <w:rPr>
          <w:rFonts w:ascii="Arial" w:hAnsi="Arial" w:cs="Arial"/>
        </w:rPr>
      </w:pPr>
      <w:r w:rsidRPr="00155C3A">
        <w:rPr>
          <w:rFonts w:ascii="Arial" w:hAnsi="Arial" w:cs="Arial"/>
        </w:rPr>
        <w:t>mitigation measures to avoid or reduce impacts;</w:t>
      </w:r>
    </w:p>
    <w:p w14:paraId="27B9B834" w14:textId="77777777" w:rsidR="002F7715" w:rsidRPr="00155C3A" w:rsidRDefault="002F7715" w:rsidP="000A0BF0">
      <w:pPr>
        <w:pStyle w:val="BodyText"/>
        <w:numPr>
          <w:ilvl w:val="0"/>
          <w:numId w:val="33"/>
        </w:numPr>
        <w:rPr>
          <w:rFonts w:ascii="Arial" w:hAnsi="Arial" w:cs="Arial"/>
        </w:rPr>
      </w:pPr>
      <w:r w:rsidRPr="00155C3A">
        <w:rPr>
          <w:rFonts w:ascii="Arial" w:hAnsi="Arial" w:cs="Arial"/>
        </w:rPr>
        <w:t>monitoring activities to track performance;</w:t>
      </w:r>
    </w:p>
    <w:p w14:paraId="1ADC72F5" w14:textId="77777777" w:rsidR="002F7715" w:rsidRPr="00155C3A" w:rsidRDefault="002F7715" w:rsidP="000A0BF0">
      <w:pPr>
        <w:pStyle w:val="BodyText"/>
        <w:numPr>
          <w:ilvl w:val="0"/>
          <w:numId w:val="33"/>
        </w:numPr>
        <w:rPr>
          <w:rFonts w:ascii="Arial" w:hAnsi="Arial" w:cs="Arial"/>
        </w:rPr>
      </w:pPr>
      <w:r w:rsidRPr="00155C3A">
        <w:rPr>
          <w:rFonts w:ascii="Arial" w:hAnsi="Arial" w:cs="Arial"/>
        </w:rPr>
        <w:lastRenderedPageBreak/>
        <w:t>roles and responsibilities;</w:t>
      </w:r>
    </w:p>
    <w:p w14:paraId="1632D2DF" w14:textId="77777777" w:rsidR="002F7715" w:rsidRPr="00155C3A" w:rsidRDefault="002F7715" w:rsidP="000A0BF0">
      <w:pPr>
        <w:pStyle w:val="BodyText"/>
        <w:numPr>
          <w:ilvl w:val="0"/>
          <w:numId w:val="33"/>
        </w:numPr>
        <w:rPr>
          <w:rFonts w:ascii="Arial" w:hAnsi="Arial" w:cs="Arial"/>
        </w:rPr>
      </w:pPr>
      <w:r w:rsidRPr="00155C3A">
        <w:rPr>
          <w:rFonts w:ascii="Arial" w:hAnsi="Arial" w:cs="Arial"/>
        </w:rPr>
        <w:t>procedures for reporting and continuous improvement.</w:t>
      </w:r>
    </w:p>
    <w:p w14:paraId="36D07723" w14:textId="77777777" w:rsidR="002F7715" w:rsidRDefault="002F7715" w:rsidP="002F7715">
      <w:pPr>
        <w:pStyle w:val="BodyText"/>
        <w:rPr>
          <w:rFonts w:ascii="Arial" w:hAnsi="Arial" w:cs="Arial"/>
        </w:rPr>
      </w:pPr>
      <w:r w:rsidRPr="00155C3A">
        <w:rPr>
          <w:rFonts w:ascii="Arial" w:hAnsi="Arial" w:cs="Arial"/>
        </w:rPr>
        <w:t>Overall, the ESMP ensures that environmental and social impacts are effectively managed and that the Project remains compliant with applicable standards over time.</w:t>
      </w:r>
    </w:p>
    <w:p w14:paraId="465EBA6F" w14:textId="77777777" w:rsidR="00A31304" w:rsidRPr="00155C3A" w:rsidRDefault="00A31304" w:rsidP="002F7715">
      <w:pPr>
        <w:pStyle w:val="BodyText"/>
        <w:rPr>
          <w:rFonts w:ascii="Arial" w:hAnsi="Arial" w:cs="Arial"/>
        </w:rPr>
      </w:pPr>
    </w:p>
    <w:p w14:paraId="59A3BD9B" w14:textId="77777777" w:rsidR="002F7715" w:rsidRPr="00155C3A" w:rsidRDefault="002F7715" w:rsidP="002F7715">
      <w:pPr>
        <w:pStyle w:val="Heading2"/>
        <w:ind w:left="680" w:hanging="680"/>
        <w:rPr>
          <w:rFonts w:ascii="Arial" w:hAnsi="Arial" w:cs="Arial"/>
        </w:rPr>
      </w:pPr>
      <w:bookmarkStart w:id="48" w:name="_Toc229650193"/>
      <w:r w:rsidRPr="00155C3A">
        <w:rPr>
          <w:rFonts w:ascii="Arial" w:hAnsi="Arial" w:cs="Arial"/>
        </w:rPr>
        <w:t>Key Environmental and Social Commitments</w:t>
      </w:r>
      <w:bookmarkEnd w:id="48"/>
    </w:p>
    <w:p w14:paraId="79ADBDBE" w14:textId="77777777" w:rsidR="002F7715" w:rsidRPr="00155C3A" w:rsidRDefault="002F7715" w:rsidP="002F7715">
      <w:pPr>
        <w:pStyle w:val="BodyText"/>
        <w:rPr>
          <w:rFonts w:ascii="Arial" w:hAnsi="Arial" w:cs="Arial"/>
        </w:rPr>
      </w:pPr>
      <w:r w:rsidRPr="00155C3A">
        <w:rPr>
          <w:rFonts w:ascii="Arial" w:hAnsi="Arial" w:cs="Arial"/>
        </w:rPr>
        <w:t xml:space="preserve">The main commitments of the ESMP are </w:t>
      </w:r>
      <w:proofErr w:type="spellStart"/>
      <w:r w:rsidRPr="00155C3A">
        <w:rPr>
          <w:rFonts w:ascii="Arial" w:hAnsi="Arial" w:cs="Arial"/>
        </w:rPr>
        <w:t>summarised</w:t>
      </w:r>
      <w:proofErr w:type="spellEnd"/>
      <w:r w:rsidRPr="00155C3A">
        <w:rPr>
          <w:rFonts w:ascii="Arial" w:hAnsi="Arial" w:cs="Arial"/>
        </w:rPr>
        <w:t xml:space="preserve"> below.</w:t>
      </w:r>
    </w:p>
    <w:tbl>
      <w:tblPr>
        <w:tblStyle w:val="ListTable3-Accent4"/>
        <w:tblW w:w="0" w:type="auto"/>
        <w:tblLook w:val="04A0" w:firstRow="1" w:lastRow="0" w:firstColumn="1" w:lastColumn="0" w:noHBand="0" w:noVBand="1"/>
      </w:tblPr>
      <w:tblGrid>
        <w:gridCol w:w="2109"/>
        <w:gridCol w:w="7796"/>
      </w:tblGrid>
      <w:tr w:rsidR="002F7715" w:rsidRPr="00155C3A" w14:paraId="3B11DEB5" w14:textId="77777777" w:rsidTr="002F771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19552B72" w14:textId="77777777" w:rsidR="002F7715" w:rsidRPr="00155C3A" w:rsidRDefault="002F7715" w:rsidP="00837824">
            <w:pPr>
              <w:pStyle w:val="BodyText"/>
              <w:spacing w:line="240" w:lineRule="auto"/>
              <w:rPr>
                <w:rFonts w:ascii="Arial" w:hAnsi="Arial" w:cs="Arial"/>
              </w:rPr>
            </w:pPr>
            <w:r w:rsidRPr="00155C3A">
              <w:rPr>
                <w:rFonts w:ascii="Arial" w:hAnsi="Arial" w:cs="Arial"/>
              </w:rPr>
              <w:t>Topic</w:t>
            </w:r>
          </w:p>
        </w:tc>
        <w:tc>
          <w:tcPr>
            <w:tcW w:w="0" w:type="auto"/>
            <w:hideMark/>
          </w:tcPr>
          <w:p w14:paraId="73706CFB" w14:textId="77777777" w:rsidR="002F7715" w:rsidRPr="00155C3A" w:rsidRDefault="002F7715" w:rsidP="00837824">
            <w:pPr>
              <w:pStyle w:val="BodyText"/>
              <w:spacing w:line="240" w:lineRule="auto"/>
              <w:cnfStyle w:val="100000000000" w:firstRow="1"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Key Commitments</w:t>
            </w:r>
          </w:p>
        </w:tc>
      </w:tr>
      <w:tr w:rsidR="002F7715" w:rsidRPr="00155C3A" w14:paraId="06ABE4B7"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99939B"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t>Environmental Management</w:t>
            </w:r>
          </w:p>
        </w:tc>
        <w:tc>
          <w:tcPr>
            <w:tcW w:w="0" w:type="auto"/>
            <w:vAlign w:val="center"/>
            <w:hideMark/>
          </w:tcPr>
          <w:p w14:paraId="19C07096" w14:textId="77777777" w:rsidR="002F7715" w:rsidRPr="00155C3A"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proofErr w:type="spellStart"/>
            <w:r w:rsidRPr="00155C3A">
              <w:rPr>
                <w:rFonts w:ascii="Arial" w:hAnsi="Arial" w:cs="Arial"/>
              </w:rPr>
              <w:t>Minimise</w:t>
            </w:r>
            <w:proofErr w:type="spellEnd"/>
            <w:r w:rsidRPr="00155C3A">
              <w:rPr>
                <w:rFonts w:ascii="Arial" w:hAnsi="Arial" w:cs="Arial"/>
              </w:rPr>
              <w:t xml:space="preserve"> impacts on air, soil and water through good construction practices, pollution prevention measures and proper waste management.</w:t>
            </w:r>
          </w:p>
        </w:tc>
      </w:tr>
      <w:tr w:rsidR="00907E0D" w:rsidRPr="00155C3A" w14:paraId="371E5CC1" w14:textId="77777777" w:rsidTr="00837824">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38BB589" w14:textId="313F2B3F" w:rsidR="00907E0D" w:rsidRPr="00155C3A" w:rsidRDefault="00907E0D" w:rsidP="00907E0D">
            <w:pPr>
              <w:pStyle w:val="BodyText"/>
              <w:spacing w:line="240" w:lineRule="auto"/>
              <w:jc w:val="left"/>
              <w:rPr>
                <w:rFonts w:ascii="Arial" w:hAnsi="Arial" w:cs="Arial"/>
                <w:b w:val="0"/>
                <w:bCs w:val="0"/>
              </w:rPr>
            </w:pPr>
            <w:r w:rsidRPr="00155C3A">
              <w:rPr>
                <w:rStyle w:val="Strong"/>
                <w:rFonts w:ascii="Arial" w:hAnsi="Arial" w:cs="Arial"/>
                <w:b/>
                <w:bCs/>
              </w:rPr>
              <w:t>Biodiversity and Critical Habitat</w:t>
            </w:r>
          </w:p>
        </w:tc>
        <w:tc>
          <w:tcPr>
            <w:tcW w:w="0" w:type="auto"/>
            <w:vAlign w:val="center"/>
          </w:tcPr>
          <w:p w14:paraId="31C03E2F" w14:textId="5D96EDDC" w:rsidR="00907E0D" w:rsidRPr="00155C3A" w:rsidRDefault="00907E0D" w:rsidP="00907E0D">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A dedicated Biodiversity Management Plan (BMP) will be implemented in line with IFC PS6 and EBRD requirements. The Project area includes features that qualify as Critical Habitat under EBRD ESR6, including one species (European ground squirrel) and priority habitats in the wider area. Management measures will follow the mitigation hierarchy (avoid, </w:t>
            </w:r>
            <w:proofErr w:type="spellStart"/>
            <w:r w:rsidRPr="00155C3A">
              <w:rPr>
                <w:rFonts w:ascii="Arial" w:hAnsi="Arial" w:cs="Arial"/>
              </w:rPr>
              <w:t>minimise</w:t>
            </w:r>
            <w:proofErr w:type="spellEnd"/>
            <w:r w:rsidRPr="00155C3A">
              <w:rPr>
                <w:rFonts w:ascii="Arial" w:hAnsi="Arial" w:cs="Arial"/>
              </w:rPr>
              <w:t>, restore) and are designed to achieve No Net Loss and, where applicable, Net Gain for biodiversity.</w:t>
            </w:r>
          </w:p>
        </w:tc>
      </w:tr>
      <w:tr w:rsidR="00907E0D" w:rsidRPr="00155C3A" w14:paraId="69951D82"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2F47A2" w14:textId="77777777" w:rsidR="00907E0D" w:rsidRPr="00155C3A" w:rsidRDefault="00907E0D" w:rsidP="00907E0D">
            <w:pPr>
              <w:pStyle w:val="BodyText"/>
              <w:spacing w:line="240" w:lineRule="auto"/>
              <w:jc w:val="left"/>
              <w:rPr>
                <w:rFonts w:ascii="Arial" w:hAnsi="Arial" w:cs="Arial"/>
                <w:b w:val="0"/>
                <w:bCs w:val="0"/>
              </w:rPr>
            </w:pPr>
          </w:p>
        </w:tc>
        <w:tc>
          <w:tcPr>
            <w:tcW w:w="0" w:type="auto"/>
            <w:vAlign w:val="center"/>
          </w:tcPr>
          <w:p w14:paraId="01DBD55E" w14:textId="0425F6C8" w:rsidR="00907E0D" w:rsidRPr="00155C3A" w:rsidRDefault="00907E0D" w:rsidP="00907E0D">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Sensitive habitats located near the Project will be clearly demarcated and avoided, with construction activities limited to already modified agricultural land wherever possible. </w:t>
            </w:r>
          </w:p>
        </w:tc>
      </w:tr>
      <w:tr w:rsidR="00907E0D" w:rsidRPr="00155C3A" w14:paraId="078FA121" w14:textId="77777777" w:rsidTr="00837824">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C2E466" w14:textId="77777777" w:rsidR="00907E0D" w:rsidRPr="00155C3A" w:rsidRDefault="00907E0D" w:rsidP="00907E0D">
            <w:pPr>
              <w:pStyle w:val="BodyText"/>
              <w:spacing w:line="240" w:lineRule="auto"/>
              <w:jc w:val="left"/>
              <w:rPr>
                <w:rFonts w:ascii="Arial" w:hAnsi="Arial" w:cs="Arial"/>
                <w:b w:val="0"/>
                <w:bCs w:val="0"/>
              </w:rPr>
            </w:pPr>
          </w:p>
        </w:tc>
        <w:tc>
          <w:tcPr>
            <w:tcW w:w="0" w:type="auto"/>
            <w:vAlign w:val="center"/>
          </w:tcPr>
          <w:p w14:paraId="0BC10954" w14:textId="3F7914EC" w:rsidR="00907E0D" w:rsidRPr="00155C3A" w:rsidRDefault="00907E0D" w:rsidP="00907E0D">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Specific measures are implemented to reduce impacts on fauna, including pre-construction surveys, seasonal restrictions, and exclusion zones around nesting areas. </w:t>
            </w:r>
          </w:p>
        </w:tc>
      </w:tr>
      <w:tr w:rsidR="00907E0D" w:rsidRPr="00155C3A" w14:paraId="54941B2D"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9A6619D" w14:textId="77777777" w:rsidR="00907E0D" w:rsidRPr="00155C3A" w:rsidRDefault="00907E0D" w:rsidP="00907E0D">
            <w:pPr>
              <w:pStyle w:val="BodyText"/>
              <w:spacing w:line="240" w:lineRule="auto"/>
              <w:jc w:val="left"/>
              <w:rPr>
                <w:rFonts w:ascii="Arial" w:hAnsi="Arial" w:cs="Arial"/>
                <w:b w:val="0"/>
                <w:bCs w:val="0"/>
              </w:rPr>
            </w:pPr>
          </w:p>
        </w:tc>
        <w:tc>
          <w:tcPr>
            <w:tcW w:w="0" w:type="auto"/>
            <w:vAlign w:val="center"/>
          </w:tcPr>
          <w:p w14:paraId="3EFB951C" w14:textId="23247967" w:rsidR="00907E0D" w:rsidRPr="00155C3A" w:rsidRDefault="00907E0D" w:rsidP="00907E0D">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 xml:space="preserve">During operation, advanced mitigation measures will be applied to reduce collision risks for birds and bats, including automated turbine shutdown systems, blade feathering and ongoing monitoring programmes. </w:t>
            </w:r>
          </w:p>
        </w:tc>
      </w:tr>
      <w:tr w:rsidR="00907E0D" w:rsidRPr="00155C3A" w14:paraId="6024C044" w14:textId="77777777" w:rsidTr="00837824">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B7D1C5C" w14:textId="77777777" w:rsidR="00907E0D" w:rsidRPr="00155C3A" w:rsidRDefault="00907E0D" w:rsidP="00837824">
            <w:pPr>
              <w:pStyle w:val="BodyText"/>
              <w:spacing w:line="240" w:lineRule="auto"/>
              <w:jc w:val="left"/>
              <w:rPr>
                <w:rFonts w:ascii="Arial" w:hAnsi="Arial" w:cs="Arial"/>
                <w:b w:val="0"/>
                <w:bCs w:val="0"/>
              </w:rPr>
            </w:pPr>
          </w:p>
        </w:tc>
        <w:tc>
          <w:tcPr>
            <w:tcW w:w="0" w:type="auto"/>
            <w:vAlign w:val="center"/>
          </w:tcPr>
          <w:p w14:paraId="49B5D7CD" w14:textId="02ACCA2B" w:rsidR="00907E0D" w:rsidRPr="00155C3A" w:rsidRDefault="00907E0D"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Long-term biodiversity monitoring and adaptive management will be implemented to track impacts and adjust mitigation measures where needed.</w:t>
            </w:r>
          </w:p>
        </w:tc>
      </w:tr>
      <w:tr w:rsidR="002F7715" w:rsidRPr="00155C3A" w14:paraId="2E1BA33D"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87F0561"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t>Land and Restoration</w:t>
            </w:r>
          </w:p>
        </w:tc>
        <w:tc>
          <w:tcPr>
            <w:tcW w:w="0" w:type="auto"/>
            <w:vAlign w:val="center"/>
            <w:hideMark/>
          </w:tcPr>
          <w:p w14:paraId="0BFE1942" w14:textId="77777777" w:rsidR="002F7715" w:rsidRPr="00155C3A"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Limit land disturbance to the minimum necessary and restore temporary areas after construction using native vegetation.</w:t>
            </w:r>
          </w:p>
        </w:tc>
      </w:tr>
      <w:tr w:rsidR="002F7715" w:rsidRPr="00155C3A" w14:paraId="5963B113" w14:textId="77777777" w:rsidTr="008378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521FB7"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t>Community Health and Safety</w:t>
            </w:r>
          </w:p>
        </w:tc>
        <w:tc>
          <w:tcPr>
            <w:tcW w:w="0" w:type="auto"/>
            <w:vAlign w:val="center"/>
            <w:hideMark/>
          </w:tcPr>
          <w:p w14:paraId="6A97B766" w14:textId="77777777" w:rsidR="002F7715" w:rsidRPr="00155C3A" w:rsidRDefault="002F7715"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Implement measures to manage traffic, noise and workforce presence, and ensure safe interaction with local communities.</w:t>
            </w:r>
          </w:p>
        </w:tc>
      </w:tr>
      <w:tr w:rsidR="002F7715" w:rsidRPr="00155C3A" w14:paraId="14896CFC"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8D0AC1" w14:textId="77777777" w:rsidR="002F7715" w:rsidRPr="00155C3A" w:rsidRDefault="002F7715" w:rsidP="00837824">
            <w:pPr>
              <w:pStyle w:val="BodyText"/>
              <w:spacing w:line="240" w:lineRule="auto"/>
              <w:jc w:val="left"/>
              <w:rPr>
                <w:rFonts w:ascii="Arial" w:hAnsi="Arial" w:cs="Arial"/>
              </w:rPr>
            </w:pPr>
            <w:proofErr w:type="spellStart"/>
            <w:r w:rsidRPr="00155C3A">
              <w:rPr>
                <w:rFonts w:ascii="Arial" w:hAnsi="Arial" w:cs="Arial"/>
              </w:rPr>
              <w:t>Labour</w:t>
            </w:r>
            <w:proofErr w:type="spellEnd"/>
            <w:r w:rsidRPr="00155C3A">
              <w:rPr>
                <w:rFonts w:ascii="Arial" w:hAnsi="Arial" w:cs="Arial"/>
              </w:rPr>
              <w:t xml:space="preserve"> and Working Conditions</w:t>
            </w:r>
          </w:p>
        </w:tc>
        <w:tc>
          <w:tcPr>
            <w:tcW w:w="0" w:type="auto"/>
            <w:vAlign w:val="center"/>
            <w:hideMark/>
          </w:tcPr>
          <w:p w14:paraId="1DE27AB0" w14:textId="77777777" w:rsidR="002F7715" w:rsidRPr="00155C3A"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Provide safe and fair working conditions in line with international standards, including worker accommodation, health and safety procedures and grievance mechanisms.</w:t>
            </w:r>
          </w:p>
        </w:tc>
      </w:tr>
      <w:tr w:rsidR="002F7715" w:rsidRPr="00155C3A" w14:paraId="6F90AB4C" w14:textId="77777777" w:rsidTr="008378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726B81D"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t>Stakeholder Engagement</w:t>
            </w:r>
          </w:p>
        </w:tc>
        <w:tc>
          <w:tcPr>
            <w:tcW w:w="0" w:type="auto"/>
            <w:vAlign w:val="center"/>
            <w:hideMark/>
          </w:tcPr>
          <w:p w14:paraId="2372360F" w14:textId="77777777" w:rsidR="002F7715" w:rsidRPr="00155C3A" w:rsidRDefault="002F7715"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Maintain ongoing communication with stakeholders and ensure access to an effective grievance mechanism throughout the Project lifecycle.</w:t>
            </w:r>
          </w:p>
        </w:tc>
      </w:tr>
      <w:tr w:rsidR="002F7715" w:rsidRPr="00155C3A" w14:paraId="0D843F59"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087840"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lastRenderedPageBreak/>
              <w:t>Traffic Management</w:t>
            </w:r>
          </w:p>
        </w:tc>
        <w:tc>
          <w:tcPr>
            <w:tcW w:w="0" w:type="auto"/>
            <w:vAlign w:val="center"/>
            <w:hideMark/>
          </w:tcPr>
          <w:p w14:paraId="0BF9E99F" w14:textId="77777777" w:rsidR="002F7715" w:rsidRPr="00155C3A"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Implement a Traffic Management Plan to control vehicle movements, reduce congestion and ensure road safety.</w:t>
            </w:r>
          </w:p>
        </w:tc>
      </w:tr>
      <w:tr w:rsidR="002F7715" w:rsidRPr="00155C3A" w14:paraId="779CA47E" w14:textId="77777777" w:rsidTr="008378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57EF0DB"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t>Cultural Heritage</w:t>
            </w:r>
          </w:p>
        </w:tc>
        <w:tc>
          <w:tcPr>
            <w:tcW w:w="0" w:type="auto"/>
            <w:vAlign w:val="center"/>
            <w:hideMark/>
          </w:tcPr>
          <w:p w14:paraId="11EACBE4" w14:textId="77777777" w:rsidR="002F7715" w:rsidRPr="00155C3A" w:rsidRDefault="002F7715"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155C3A">
              <w:rPr>
                <w:rFonts w:ascii="Arial" w:hAnsi="Arial" w:cs="Arial"/>
              </w:rPr>
              <w:t xml:space="preserve">Protect archaeological resources through chance find procedures and supervision of </w:t>
            </w:r>
            <w:proofErr w:type="gramStart"/>
            <w:r w:rsidRPr="00155C3A">
              <w:rPr>
                <w:rFonts w:ascii="Arial" w:hAnsi="Arial" w:cs="Arial"/>
              </w:rPr>
              <w:t>ground works</w:t>
            </w:r>
            <w:proofErr w:type="gramEnd"/>
            <w:r w:rsidRPr="00155C3A">
              <w:rPr>
                <w:rFonts w:ascii="Arial" w:hAnsi="Arial" w:cs="Arial"/>
              </w:rPr>
              <w:t xml:space="preserve"> where required.</w:t>
            </w:r>
          </w:p>
        </w:tc>
      </w:tr>
      <w:tr w:rsidR="002F7715" w:rsidRPr="00155C3A" w14:paraId="130F1155"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F5F7E98" w14:textId="77777777" w:rsidR="002F7715" w:rsidRPr="00155C3A" w:rsidRDefault="002F7715" w:rsidP="00837824">
            <w:pPr>
              <w:pStyle w:val="BodyText"/>
              <w:spacing w:line="240" w:lineRule="auto"/>
              <w:jc w:val="left"/>
              <w:rPr>
                <w:rFonts w:ascii="Arial" w:hAnsi="Arial" w:cs="Arial"/>
              </w:rPr>
            </w:pPr>
            <w:r w:rsidRPr="00155C3A">
              <w:rPr>
                <w:rFonts w:ascii="Arial" w:hAnsi="Arial" w:cs="Arial"/>
              </w:rPr>
              <w:t>Monitoring and Reporting</w:t>
            </w:r>
          </w:p>
        </w:tc>
        <w:tc>
          <w:tcPr>
            <w:tcW w:w="0" w:type="auto"/>
            <w:vAlign w:val="center"/>
            <w:hideMark/>
          </w:tcPr>
          <w:p w14:paraId="1D885AC6" w14:textId="77777777" w:rsidR="002F7715" w:rsidRPr="00155C3A"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155C3A">
              <w:rPr>
                <w:rFonts w:ascii="Arial" w:hAnsi="Arial" w:cs="Arial"/>
              </w:rPr>
              <w:t>Carry out regular environmental and social monitoring and report performance to stakeholders and lenders.</w:t>
            </w:r>
          </w:p>
        </w:tc>
      </w:tr>
    </w:tbl>
    <w:p w14:paraId="6F3EC6E8" w14:textId="77777777" w:rsidR="007E3003" w:rsidRPr="00155C3A" w:rsidRDefault="007E3003" w:rsidP="007E3003">
      <w:pPr>
        <w:pStyle w:val="Heading1"/>
        <w:ind w:left="454" w:hanging="454"/>
        <w:rPr>
          <w:rFonts w:ascii="Arial" w:hAnsi="Arial" w:cs="Arial"/>
        </w:rPr>
      </w:pPr>
      <w:bookmarkStart w:id="49" w:name="_Toc229489991"/>
      <w:bookmarkStart w:id="50" w:name="_Toc229650194"/>
      <w:bookmarkStart w:id="51" w:name="_Toc229490001"/>
      <w:r w:rsidRPr="00155C3A">
        <w:rPr>
          <w:rFonts w:ascii="Arial" w:hAnsi="Arial" w:cs="Arial"/>
        </w:rPr>
        <w:t>Stakeholder Engagement</w:t>
      </w:r>
      <w:bookmarkEnd w:id="49"/>
      <w:bookmarkEnd w:id="50"/>
    </w:p>
    <w:p w14:paraId="52DDEF2B" w14:textId="77777777" w:rsidR="00FB0A7D" w:rsidRPr="00155C3A" w:rsidRDefault="00FB0A7D" w:rsidP="00FB0A7D">
      <w:pPr>
        <w:pStyle w:val="Heading2"/>
        <w:ind w:left="680" w:hanging="680"/>
        <w:rPr>
          <w:rFonts w:ascii="Arial" w:hAnsi="Arial" w:cs="Arial"/>
        </w:rPr>
      </w:pPr>
      <w:bookmarkStart w:id="52" w:name="_Toc229650195"/>
      <w:bookmarkEnd w:id="51"/>
      <w:r w:rsidRPr="00155C3A">
        <w:rPr>
          <w:rFonts w:ascii="Arial" w:hAnsi="Arial" w:cs="Arial"/>
        </w:rPr>
        <w:t>Approach to Stakeholder Engagement</w:t>
      </w:r>
      <w:bookmarkEnd w:id="52"/>
    </w:p>
    <w:p w14:paraId="272D2402" w14:textId="77777777" w:rsidR="00FB0A7D" w:rsidRPr="00155C3A" w:rsidRDefault="00FB0A7D" w:rsidP="00FB0A7D">
      <w:pPr>
        <w:pStyle w:val="BodyText"/>
        <w:rPr>
          <w:rFonts w:ascii="Arial" w:hAnsi="Arial" w:cs="Arial"/>
        </w:rPr>
      </w:pPr>
      <w:r w:rsidRPr="00155C3A">
        <w:rPr>
          <w:rFonts w:ascii="Arial" w:hAnsi="Arial" w:cs="Arial"/>
        </w:rPr>
        <w:t>Stakeholder engagement is a key component of the Project and is implemented as a continuous and structured process throughout all phases, from planning to operation. The approach is based on national legislation, European requirements and international lender standards, particularly EBRD Performance Requirement 10 and IFC Performance Standard 1.</w:t>
      </w:r>
    </w:p>
    <w:p w14:paraId="16156C08" w14:textId="77777777" w:rsidR="003F4818" w:rsidRPr="00155C3A" w:rsidRDefault="003F4818" w:rsidP="00FB0A7D">
      <w:pPr>
        <w:pStyle w:val="BodyText"/>
        <w:rPr>
          <w:rFonts w:ascii="Arial" w:hAnsi="Arial" w:cs="Arial"/>
        </w:rPr>
      </w:pPr>
      <w:r w:rsidRPr="00155C3A">
        <w:rPr>
          <w:rFonts w:ascii="Arial" w:hAnsi="Arial" w:cs="Arial"/>
        </w:rPr>
        <w:t xml:space="preserve">A </w:t>
      </w:r>
      <w:r w:rsidRPr="00155C3A">
        <w:rPr>
          <w:rFonts w:ascii="Arial" w:hAnsi="Arial" w:cs="Arial"/>
          <w:b/>
          <w:bCs/>
        </w:rPr>
        <w:t>Stakeholder Engagement Plan (SEP)</w:t>
      </w:r>
      <w:r w:rsidRPr="00155C3A">
        <w:rPr>
          <w:rFonts w:ascii="Arial" w:hAnsi="Arial" w:cs="Arial"/>
        </w:rPr>
        <w:t xml:space="preserve"> has been developed to guide the systematic and ongoing engagement with stakeholders throughout all phases of the Project.</w:t>
      </w:r>
    </w:p>
    <w:p w14:paraId="09CB1CF9" w14:textId="7FDE815B" w:rsidR="00FB0A7D" w:rsidRPr="00155C3A" w:rsidRDefault="00FB0A7D" w:rsidP="00FB0A7D">
      <w:pPr>
        <w:pStyle w:val="BodyText"/>
        <w:rPr>
          <w:rFonts w:ascii="Arial" w:hAnsi="Arial" w:cs="Arial"/>
        </w:rPr>
      </w:pPr>
      <w:r w:rsidRPr="00155C3A">
        <w:rPr>
          <w:rFonts w:ascii="Arial" w:hAnsi="Arial" w:cs="Arial"/>
        </w:rPr>
        <w:t xml:space="preserve">Engagement is managed through a single, integrated framework covering the full </w:t>
      </w:r>
      <w:proofErr w:type="spellStart"/>
      <w:r w:rsidRPr="00155C3A">
        <w:rPr>
          <w:rFonts w:ascii="Arial" w:hAnsi="Arial" w:cs="Arial"/>
        </w:rPr>
        <w:t>Dunarea</w:t>
      </w:r>
      <w:proofErr w:type="spellEnd"/>
      <w:r w:rsidRPr="00155C3A">
        <w:rPr>
          <w:rFonts w:ascii="Arial" w:hAnsi="Arial" w:cs="Arial"/>
        </w:rPr>
        <w:t xml:space="preserve"> Wind Farm project, ensuring consistency across project components and stakeholders. The Project Companies are responsible for implementation, supported by a dedicated </w:t>
      </w:r>
      <w:r w:rsidRPr="00155C3A">
        <w:rPr>
          <w:rFonts w:ascii="Arial" w:hAnsi="Arial" w:cs="Arial"/>
          <w:b/>
          <w:bCs/>
        </w:rPr>
        <w:t>Community Liaison Officer (CLO)</w:t>
      </w:r>
      <w:r w:rsidRPr="00155C3A">
        <w:rPr>
          <w:rFonts w:ascii="Arial" w:hAnsi="Arial" w:cs="Arial"/>
        </w:rPr>
        <w:t xml:space="preserve"> who acts as the main point of contact with communities, authorities and other stakeholders.</w:t>
      </w:r>
    </w:p>
    <w:p w14:paraId="5023316E" w14:textId="77777777" w:rsidR="00FB0A7D" w:rsidRPr="00155C3A" w:rsidRDefault="00FB0A7D" w:rsidP="00FB0A7D">
      <w:pPr>
        <w:pStyle w:val="BodyText"/>
        <w:rPr>
          <w:rFonts w:ascii="Arial" w:hAnsi="Arial" w:cs="Arial"/>
        </w:rPr>
      </w:pPr>
      <w:r w:rsidRPr="00155C3A">
        <w:rPr>
          <w:rFonts w:ascii="Arial" w:hAnsi="Arial" w:cs="Arial"/>
        </w:rPr>
        <w:t>Stakeholder engagement aims to:</w:t>
      </w:r>
    </w:p>
    <w:p w14:paraId="712C32E8" w14:textId="77777777" w:rsidR="00FB0A7D" w:rsidRPr="00155C3A" w:rsidRDefault="00FB0A7D" w:rsidP="000A0BF0">
      <w:pPr>
        <w:pStyle w:val="BodyText"/>
        <w:numPr>
          <w:ilvl w:val="0"/>
          <w:numId w:val="27"/>
        </w:numPr>
        <w:rPr>
          <w:rFonts w:ascii="Arial" w:hAnsi="Arial" w:cs="Arial"/>
        </w:rPr>
      </w:pPr>
      <w:r w:rsidRPr="00155C3A">
        <w:rPr>
          <w:rFonts w:ascii="Arial" w:hAnsi="Arial" w:cs="Arial"/>
        </w:rPr>
        <w:t>provide clear and accessible information about the Project;</w:t>
      </w:r>
    </w:p>
    <w:p w14:paraId="47A9E857" w14:textId="77777777" w:rsidR="00FB0A7D" w:rsidRPr="00155C3A" w:rsidRDefault="00FB0A7D" w:rsidP="000A0BF0">
      <w:pPr>
        <w:pStyle w:val="BodyText"/>
        <w:numPr>
          <w:ilvl w:val="0"/>
          <w:numId w:val="27"/>
        </w:numPr>
        <w:rPr>
          <w:rFonts w:ascii="Arial" w:hAnsi="Arial" w:cs="Arial"/>
        </w:rPr>
      </w:pPr>
      <w:r w:rsidRPr="00155C3A">
        <w:rPr>
          <w:rFonts w:ascii="Arial" w:hAnsi="Arial" w:cs="Arial"/>
        </w:rPr>
        <w:t>collect feedback and address concerns;</w:t>
      </w:r>
    </w:p>
    <w:p w14:paraId="5C432766" w14:textId="77777777" w:rsidR="00FB0A7D" w:rsidRPr="00155C3A" w:rsidRDefault="00FB0A7D" w:rsidP="000A0BF0">
      <w:pPr>
        <w:pStyle w:val="BodyText"/>
        <w:numPr>
          <w:ilvl w:val="0"/>
          <w:numId w:val="27"/>
        </w:numPr>
        <w:rPr>
          <w:rFonts w:ascii="Arial" w:hAnsi="Arial" w:cs="Arial"/>
        </w:rPr>
      </w:pPr>
      <w:r w:rsidRPr="00155C3A">
        <w:rPr>
          <w:rFonts w:ascii="Arial" w:hAnsi="Arial" w:cs="Arial"/>
        </w:rPr>
        <w:t>support project design and mitigation measures;</w:t>
      </w:r>
    </w:p>
    <w:p w14:paraId="174B4D13" w14:textId="23F48970" w:rsidR="00FB0A7D" w:rsidRPr="00155C3A" w:rsidRDefault="00FB0A7D" w:rsidP="000A0BF0">
      <w:pPr>
        <w:pStyle w:val="BodyText"/>
        <w:numPr>
          <w:ilvl w:val="0"/>
          <w:numId w:val="27"/>
        </w:numPr>
        <w:rPr>
          <w:rFonts w:ascii="Arial" w:hAnsi="Arial" w:cs="Arial"/>
        </w:rPr>
      </w:pPr>
      <w:r w:rsidRPr="00155C3A">
        <w:rPr>
          <w:rFonts w:ascii="Arial" w:hAnsi="Arial" w:cs="Arial"/>
        </w:rPr>
        <w:t>ensure transparency and build trust with local communities</w:t>
      </w:r>
      <w:r w:rsidR="007F0890" w:rsidRPr="00155C3A">
        <w:rPr>
          <w:rFonts w:ascii="Arial" w:hAnsi="Arial" w:cs="Arial"/>
        </w:rPr>
        <w:t>.</w:t>
      </w:r>
    </w:p>
    <w:p w14:paraId="10CF01D8" w14:textId="6A78956D" w:rsidR="007F0890" w:rsidRPr="00155C3A" w:rsidRDefault="007F0890" w:rsidP="007F0890">
      <w:pPr>
        <w:pStyle w:val="Heading2"/>
        <w:ind w:left="680" w:hanging="680"/>
        <w:rPr>
          <w:rFonts w:ascii="Arial" w:hAnsi="Arial" w:cs="Arial"/>
        </w:rPr>
      </w:pPr>
      <w:bookmarkStart w:id="53" w:name="_Toc229650196"/>
      <w:r w:rsidRPr="00155C3A">
        <w:rPr>
          <w:rFonts w:ascii="Arial" w:hAnsi="Arial" w:cs="Arial"/>
        </w:rPr>
        <w:t>Stakeholders’ identification</w:t>
      </w:r>
      <w:bookmarkEnd w:id="53"/>
    </w:p>
    <w:p w14:paraId="70868559" w14:textId="77777777" w:rsidR="007F0890" w:rsidRPr="00155C3A" w:rsidRDefault="007F0890" w:rsidP="007F0890">
      <w:pPr>
        <w:pStyle w:val="BodyText"/>
        <w:rPr>
          <w:rFonts w:ascii="Arial" w:hAnsi="Arial" w:cs="Arial"/>
        </w:rPr>
      </w:pPr>
      <w:r w:rsidRPr="00155C3A">
        <w:rPr>
          <w:rFonts w:ascii="Arial" w:hAnsi="Arial" w:cs="Arial"/>
        </w:rPr>
        <w:t>A wide range of stakeholders has been identified, including:</w:t>
      </w:r>
    </w:p>
    <w:p w14:paraId="73B69BEB" w14:textId="77777777" w:rsidR="007F0890" w:rsidRPr="00155C3A" w:rsidRDefault="007F0890" w:rsidP="000A0BF0">
      <w:pPr>
        <w:pStyle w:val="BodyText"/>
        <w:numPr>
          <w:ilvl w:val="0"/>
          <w:numId w:val="28"/>
        </w:numPr>
        <w:rPr>
          <w:rFonts w:ascii="Arial" w:hAnsi="Arial" w:cs="Arial"/>
        </w:rPr>
      </w:pPr>
      <w:r w:rsidRPr="00155C3A">
        <w:rPr>
          <w:rFonts w:ascii="Arial" w:hAnsi="Arial" w:cs="Arial"/>
        </w:rPr>
        <w:t>national and local authorities,</w:t>
      </w:r>
    </w:p>
    <w:p w14:paraId="3F88787D" w14:textId="77777777" w:rsidR="007F0890" w:rsidRPr="00155C3A" w:rsidRDefault="007F0890" w:rsidP="000A0BF0">
      <w:pPr>
        <w:pStyle w:val="BodyText"/>
        <w:numPr>
          <w:ilvl w:val="0"/>
          <w:numId w:val="28"/>
        </w:numPr>
        <w:rPr>
          <w:rFonts w:ascii="Arial" w:hAnsi="Arial" w:cs="Arial"/>
        </w:rPr>
      </w:pPr>
      <w:r w:rsidRPr="00155C3A">
        <w:rPr>
          <w:rFonts w:ascii="Arial" w:hAnsi="Arial" w:cs="Arial"/>
        </w:rPr>
        <w:t>local communities and landowners,</w:t>
      </w:r>
    </w:p>
    <w:p w14:paraId="71831F76" w14:textId="77777777" w:rsidR="007F0890" w:rsidRPr="00155C3A" w:rsidRDefault="007F0890" w:rsidP="000A0BF0">
      <w:pPr>
        <w:pStyle w:val="BodyText"/>
        <w:numPr>
          <w:ilvl w:val="0"/>
          <w:numId w:val="28"/>
        </w:numPr>
        <w:rPr>
          <w:rFonts w:ascii="Arial" w:hAnsi="Arial" w:cs="Arial"/>
        </w:rPr>
      </w:pPr>
      <w:r w:rsidRPr="00155C3A">
        <w:rPr>
          <w:rFonts w:ascii="Arial" w:hAnsi="Arial" w:cs="Arial"/>
        </w:rPr>
        <w:t>vulnerable groups (e.g. elderly, youth, Roma communities, women, and people with disabilities),</w:t>
      </w:r>
    </w:p>
    <w:p w14:paraId="4E5AD9B8" w14:textId="77777777" w:rsidR="007F0890" w:rsidRPr="00155C3A" w:rsidRDefault="007F0890" w:rsidP="000A0BF0">
      <w:pPr>
        <w:pStyle w:val="BodyText"/>
        <w:numPr>
          <w:ilvl w:val="0"/>
          <w:numId w:val="28"/>
        </w:numPr>
        <w:rPr>
          <w:rFonts w:ascii="Arial" w:hAnsi="Arial" w:cs="Arial"/>
        </w:rPr>
      </w:pPr>
      <w:r w:rsidRPr="00155C3A">
        <w:rPr>
          <w:rFonts w:ascii="Arial" w:hAnsi="Arial" w:cs="Arial"/>
        </w:rPr>
        <w:t>NGOs, local associations and service providers,</w:t>
      </w:r>
    </w:p>
    <w:p w14:paraId="4C1F224F" w14:textId="15DB0130" w:rsidR="007F0890" w:rsidRPr="00155C3A" w:rsidRDefault="007F0890" w:rsidP="000A0BF0">
      <w:pPr>
        <w:pStyle w:val="BodyText"/>
        <w:numPr>
          <w:ilvl w:val="0"/>
          <w:numId w:val="28"/>
        </w:numPr>
        <w:rPr>
          <w:rFonts w:ascii="Arial" w:hAnsi="Arial" w:cs="Arial"/>
        </w:rPr>
      </w:pPr>
      <w:r w:rsidRPr="00155C3A">
        <w:rPr>
          <w:rFonts w:ascii="Arial" w:hAnsi="Arial" w:cs="Arial"/>
        </w:rPr>
        <w:t>businesses and contractors.</w:t>
      </w:r>
    </w:p>
    <w:p w14:paraId="76033848" w14:textId="77777777" w:rsidR="007F0890" w:rsidRPr="00155C3A" w:rsidRDefault="007F0890" w:rsidP="007F0890">
      <w:pPr>
        <w:pStyle w:val="BodyText"/>
        <w:rPr>
          <w:rFonts w:ascii="Arial" w:hAnsi="Arial" w:cs="Arial"/>
        </w:rPr>
      </w:pPr>
      <w:r w:rsidRPr="00155C3A">
        <w:rPr>
          <w:rFonts w:ascii="Arial" w:hAnsi="Arial" w:cs="Arial"/>
        </w:rPr>
        <w:t>Special attention is given to vulnerable groups to ensure they can access information and participate in consultations through tailored approaches.</w:t>
      </w:r>
    </w:p>
    <w:p w14:paraId="05EE178C" w14:textId="77777777" w:rsidR="006B10FD" w:rsidRPr="00155C3A" w:rsidRDefault="006B10FD" w:rsidP="006B10FD">
      <w:pPr>
        <w:pStyle w:val="Heading2"/>
        <w:ind w:left="680" w:hanging="680"/>
        <w:rPr>
          <w:rFonts w:ascii="Arial" w:hAnsi="Arial" w:cs="Arial"/>
        </w:rPr>
      </w:pPr>
      <w:bookmarkStart w:id="54" w:name="_Toc229650197"/>
      <w:r w:rsidRPr="00155C3A">
        <w:rPr>
          <w:rFonts w:ascii="Arial" w:hAnsi="Arial" w:cs="Arial"/>
        </w:rPr>
        <w:lastRenderedPageBreak/>
        <w:t>Ongoing Engagement</w:t>
      </w:r>
      <w:bookmarkEnd w:id="54"/>
    </w:p>
    <w:p w14:paraId="1A09F6C1" w14:textId="77777777" w:rsidR="006B10FD" w:rsidRPr="00155C3A" w:rsidRDefault="006B10FD" w:rsidP="006B10FD">
      <w:pPr>
        <w:pStyle w:val="BodyText"/>
        <w:rPr>
          <w:rFonts w:ascii="Arial" w:hAnsi="Arial" w:cs="Arial"/>
        </w:rPr>
      </w:pPr>
      <w:r w:rsidRPr="00155C3A">
        <w:rPr>
          <w:rFonts w:ascii="Arial" w:hAnsi="Arial" w:cs="Arial"/>
        </w:rPr>
        <w:t>Engagement will continue throughout the Project lifecycle:</w:t>
      </w:r>
    </w:p>
    <w:p w14:paraId="0B4C19FE" w14:textId="77777777" w:rsidR="006B10FD" w:rsidRPr="00155C3A" w:rsidRDefault="006B10FD" w:rsidP="000A0BF0">
      <w:pPr>
        <w:pStyle w:val="BodyText"/>
        <w:numPr>
          <w:ilvl w:val="0"/>
          <w:numId w:val="29"/>
        </w:numPr>
        <w:rPr>
          <w:rFonts w:ascii="Arial" w:hAnsi="Arial" w:cs="Arial"/>
        </w:rPr>
      </w:pPr>
      <w:r w:rsidRPr="00155C3A">
        <w:rPr>
          <w:rFonts w:ascii="Arial" w:hAnsi="Arial" w:cs="Arial"/>
          <w:b/>
          <w:bCs/>
        </w:rPr>
        <w:t>Pre-construction</w:t>
      </w:r>
      <w:r w:rsidRPr="00155C3A">
        <w:rPr>
          <w:rFonts w:ascii="Arial" w:hAnsi="Arial" w:cs="Arial"/>
        </w:rPr>
        <w:t>: disclosure of ESIA results and consultation on potential impacts;</w:t>
      </w:r>
    </w:p>
    <w:p w14:paraId="018DCA84" w14:textId="77777777" w:rsidR="006B10FD" w:rsidRPr="00155C3A" w:rsidRDefault="006B10FD" w:rsidP="000A0BF0">
      <w:pPr>
        <w:pStyle w:val="BodyText"/>
        <w:numPr>
          <w:ilvl w:val="0"/>
          <w:numId w:val="29"/>
        </w:numPr>
        <w:rPr>
          <w:rFonts w:ascii="Arial" w:hAnsi="Arial" w:cs="Arial"/>
        </w:rPr>
      </w:pPr>
      <w:r w:rsidRPr="00155C3A">
        <w:rPr>
          <w:rFonts w:ascii="Arial" w:hAnsi="Arial" w:cs="Arial"/>
          <w:b/>
          <w:bCs/>
        </w:rPr>
        <w:t>Construction</w:t>
      </w:r>
      <w:r w:rsidRPr="00155C3A">
        <w:rPr>
          <w:rFonts w:ascii="Arial" w:hAnsi="Arial" w:cs="Arial"/>
        </w:rPr>
        <w:t>: regular updates on activities, workforce presence and schedule;</w:t>
      </w:r>
    </w:p>
    <w:p w14:paraId="379EE7FF" w14:textId="77777777" w:rsidR="006B10FD" w:rsidRPr="00155C3A" w:rsidRDefault="006B10FD" w:rsidP="000A0BF0">
      <w:pPr>
        <w:pStyle w:val="BodyText"/>
        <w:numPr>
          <w:ilvl w:val="0"/>
          <w:numId w:val="29"/>
        </w:numPr>
        <w:rPr>
          <w:rFonts w:ascii="Arial" w:hAnsi="Arial" w:cs="Arial"/>
        </w:rPr>
      </w:pPr>
      <w:r w:rsidRPr="00155C3A">
        <w:rPr>
          <w:rFonts w:ascii="Arial" w:hAnsi="Arial" w:cs="Arial"/>
          <w:b/>
          <w:bCs/>
        </w:rPr>
        <w:t>Operation</w:t>
      </w:r>
      <w:r w:rsidRPr="00155C3A">
        <w:rPr>
          <w:rFonts w:ascii="Arial" w:hAnsi="Arial" w:cs="Arial"/>
        </w:rPr>
        <w:t>: ongoing communication on Project performance, maintenance and monitoring results.</w:t>
      </w:r>
    </w:p>
    <w:p w14:paraId="2A0687C4" w14:textId="77777777" w:rsidR="00E6313B" w:rsidRPr="00155C3A" w:rsidRDefault="00E6313B" w:rsidP="00E6313B">
      <w:pPr>
        <w:pStyle w:val="BodyText"/>
        <w:rPr>
          <w:rFonts w:ascii="Arial" w:hAnsi="Arial" w:cs="Arial"/>
        </w:rPr>
      </w:pPr>
      <w:r w:rsidRPr="00155C3A">
        <w:rPr>
          <w:rFonts w:ascii="Arial" w:hAnsi="Arial" w:cs="Arial"/>
        </w:rPr>
        <w:t>To keep stakeholders informed and involved, the Project will use a range of simple and accessible communication tools:</w:t>
      </w:r>
    </w:p>
    <w:p w14:paraId="227C5409" w14:textId="77777777" w:rsidR="001452CE" w:rsidRPr="00155C3A" w:rsidRDefault="001452CE" w:rsidP="000A0BF0">
      <w:pPr>
        <w:pStyle w:val="BodyText"/>
        <w:numPr>
          <w:ilvl w:val="0"/>
          <w:numId w:val="30"/>
        </w:numPr>
        <w:rPr>
          <w:rFonts w:ascii="Arial" w:hAnsi="Arial" w:cs="Arial"/>
        </w:rPr>
      </w:pPr>
      <w:r w:rsidRPr="00155C3A">
        <w:rPr>
          <w:rFonts w:ascii="Arial" w:hAnsi="Arial" w:cs="Arial"/>
        </w:rPr>
        <w:t>Information leaflets: t</w:t>
      </w:r>
      <w:r w:rsidR="00E6313B" w:rsidRPr="00155C3A">
        <w:rPr>
          <w:rFonts w:ascii="Arial" w:hAnsi="Arial" w:cs="Arial"/>
        </w:rPr>
        <w:t>hese include short information leaflets that explain Project activities in a clear way, as well as notice boards placed in local communities with regular updates.</w:t>
      </w:r>
    </w:p>
    <w:p w14:paraId="4B165E27" w14:textId="77777777" w:rsidR="001452CE" w:rsidRPr="00155C3A" w:rsidRDefault="001452CE" w:rsidP="000A0BF0">
      <w:pPr>
        <w:pStyle w:val="BodyText"/>
        <w:numPr>
          <w:ilvl w:val="0"/>
          <w:numId w:val="30"/>
        </w:numPr>
        <w:rPr>
          <w:rFonts w:ascii="Arial" w:hAnsi="Arial" w:cs="Arial"/>
        </w:rPr>
      </w:pPr>
      <w:r w:rsidRPr="00155C3A">
        <w:rPr>
          <w:rFonts w:ascii="Arial" w:hAnsi="Arial" w:cs="Arial"/>
        </w:rPr>
        <w:t xml:space="preserve">Website: </w:t>
      </w:r>
      <w:r w:rsidR="00E6313B" w:rsidRPr="00155C3A">
        <w:rPr>
          <w:rFonts w:ascii="Arial" w:hAnsi="Arial" w:cs="Arial"/>
        </w:rPr>
        <w:t>Stakeholders will also be able to access information online through a dedicated Project website and contact the Project directly via a telephone hotline for questions or clarifications.</w:t>
      </w:r>
    </w:p>
    <w:p w14:paraId="45B5F470" w14:textId="77777777" w:rsidR="001452CE" w:rsidRPr="00155C3A" w:rsidRDefault="001452CE" w:rsidP="000A0BF0">
      <w:pPr>
        <w:pStyle w:val="BodyText"/>
        <w:numPr>
          <w:ilvl w:val="0"/>
          <w:numId w:val="30"/>
        </w:numPr>
        <w:rPr>
          <w:rFonts w:ascii="Arial" w:hAnsi="Arial" w:cs="Arial"/>
        </w:rPr>
      </w:pPr>
      <w:r w:rsidRPr="00155C3A">
        <w:rPr>
          <w:rFonts w:ascii="Arial" w:hAnsi="Arial" w:cs="Arial"/>
        </w:rPr>
        <w:t xml:space="preserve">Meetings: </w:t>
      </w:r>
      <w:r w:rsidR="00E6313B" w:rsidRPr="00155C3A">
        <w:rPr>
          <w:rFonts w:ascii="Arial" w:hAnsi="Arial" w:cs="Arial"/>
        </w:rPr>
        <w:t xml:space="preserve">regular meetings and community events will be </w:t>
      </w:r>
      <w:proofErr w:type="spellStart"/>
      <w:r w:rsidR="00E6313B" w:rsidRPr="00155C3A">
        <w:rPr>
          <w:rFonts w:ascii="Arial" w:hAnsi="Arial" w:cs="Arial"/>
        </w:rPr>
        <w:t>organised</w:t>
      </w:r>
      <w:proofErr w:type="spellEnd"/>
      <w:r w:rsidR="00E6313B" w:rsidRPr="00155C3A">
        <w:rPr>
          <w:rFonts w:ascii="Arial" w:hAnsi="Arial" w:cs="Arial"/>
        </w:rPr>
        <w:t xml:space="preserve"> to explain what is happening on site, listen to feedback and address any concerns. </w:t>
      </w:r>
    </w:p>
    <w:p w14:paraId="52C85DBC" w14:textId="5E50327C" w:rsidR="007F0890" w:rsidRDefault="001452CE" w:rsidP="007F0890">
      <w:pPr>
        <w:pStyle w:val="BodyText"/>
        <w:rPr>
          <w:rFonts w:ascii="Arial" w:hAnsi="Arial" w:cs="Arial"/>
        </w:rPr>
      </w:pPr>
      <w:r w:rsidRPr="00155C3A">
        <w:rPr>
          <w:rFonts w:ascii="Arial" w:hAnsi="Arial" w:cs="Arial"/>
        </w:rPr>
        <w:t>The CLO</w:t>
      </w:r>
      <w:r w:rsidR="00E6313B" w:rsidRPr="00155C3A">
        <w:rPr>
          <w:rFonts w:ascii="Arial" w:hAnsi="Arial" w:cs="Arial"/>
        </w:rPr>
        <w:t xml:space="preserve"> will remain available locally as a direct point of contact, ensuring that communication is continuous and easy to access.</w:t>
      </w:r>
      <w:r w:rsidRPr="00155C3A">
        <w:rPr>
          <w:rFonts w:ascii="Arial" w:hAnsi="Arial" w:cs="Arial"/>
        </w:rPr>
        <w:t xml:space="preserve"> In addition, a</w:t>
      </w:r>
      <w:r w:rsidR="006B10FD" w:rsidRPr="00155C3A">
        <w:rPr>
          <w:rFonts w:ascii="Arial" w:hAnsi="Arial" w:cs="Arial"/>
        </w:rPr>
        <w:t xml:space="preserve">ll engagement activities </w:t>
      </w:r>
      <w:r w:rsidRPr="00155C3A">
        <w:rPr>
          <w:rFonts w:ascii="Arial" w:hAnsi="Arial" w:cs="Arial"/>
        </w:rPr>
        <w:t>will be</w:t>
      </w:r>
      <w:r w:rsidR="006B10FD" w:rsidRPr="00155C3A">
        <w:rPr>
          <w:rFonts w:ascii="Arial" w:hAnsi="Arial" w:cs="Arial"/>
        </w:rPr>
        <w:t xml:space="preserve"> documented and monitored to ensure that stakeholder concerns are addressed and commitments are tracked.</w:t>
      </w:r>
    </w:p>
    <w:p w14:paraId="6EDD68A5" w14:textId="77777777" w:rsidR="00A91082" w:rsidRPr="00155C3A" w:rsidRDefault="00A91082" w:rsidP="007F0890">
      <w:pPr>
        <w:pStyle w:val="BodyText"/>
        <w:rPr>
          <w:rFonts w:ascii="Arial" w:hAnsi="Arial" w:cs="Arial"/>
        </w:rPr>
      </w:pPr>
    </w:p>
    <w:p w14:paraId="5AC4F9EB" w14:textId="77777777" w:rsidR="00B95B8E" w:rsidRPr="00155C3A" w:rsidRDefault="00B95B8E" w:rsidP="00B95B8E">
      <w:pPr>
        <w:pStyle w:val="Heading2"/>
        <w:ind w:left="680" w:hanging="680"/>
        <w:rPr>
          <w:rFonts w:ascii="Arial" w:hAnsi="Arial" w:cs="Arial"/>
        </w:rPr>
      </w:pPr>
      <w:bookmarkStart w:id="55" w:name="_Toc229650198"/>
      <w:r w:rsidRPr="00155C3A">
        <w:rPr>
          <w:rFonts w:ascii="Arial" w:hAnsi="Arial" w:cs="Arial"/>
        </w:rPr>
        <w:t>Grievance Mechanism</w:t>
      </w:r>
      <w:bookmarkEnd w:id="55"/>
    </w:p>
    <w:p w14:paraId="51B49259" w14:textId="77777777" w:rsidR="00B95B8E" w:rsidRPr="00155C3A" w:rsidRDefault="00B95B8E" w:rsidP="00B95B8E">
      <w:pPr>
        <w:pStyle w:val="BodyText"/>
        <w:rPr>
          <w:rFonts w:ascii="Arial" w:hAnsi="Arial" w:cs="Arial"/>
        </w:rPr>
      </w:pPr>
      <w:r w:rsidRPr="00155C3A">
        <w:rPr>
          <w:rFonts w:ascii="Arial" w:hAnsi="Arial" w:cs="Arial"/>
        </w:rPr>
        <w:t xml:space="preserve">The Project has established a </w:t>
      </w:r>
      <w:r w:rsidRPr="00155C3A">
        <w:rPr>
          <w:rFonts w:ascii="Arial" w:hAnsi="Arial" w:cs="Arial"/>
          <w:b/>
          <w:bCs/>
        </w:rPr>
        <w:t>Community Grievance Mechanism (CGM)</w:t>
      </w:r>
      <w:r w:rsidRPr="00155C3A">
        <w:rPr>
          <w:rFonts w:ascii="Arial" w:hAnsi="Arial" w:cs="Arial"/>
        </w:rPr>
        <w:t xml:space="preserve"> to allow stakeholders to raise concerns or complaints at any stage of the Project.</w:t>
      </w:r>
    </w:p>
    <w:p w14:paraId="175F4257" w14:textId="77777777" w:rsidR="00B95B8E" w:rsidRPr="00155C3A" w:rsidRDefault="00B95B8E" w:rsidP="00B95B8E">
      <w:pPr>
        <w:pStyle w:val="BodyText"/>
        <w:rPr>
          <w:rFonts w:ascii="Arial" w:hAnsi="Arial" w:cs="Arial"/>
        </w:rPr>
      </w:pPr>
      <w:r w:rsidRPr="00155C3A">
        <w:rPr>
          <w:rFonts w:ascii="Arial" w:hAnsi="Arial" w:cs="Arial"/>
        </w:rPr>
        <w:t>The mechanism is designed to be:</w:t>
      </w:r>
    </w:p>
    <w:p w14:paraId="3C80CD8F" w14:textId="77777777" w:rsidR="00B95B8E" w:rsidRPr="00155C3A" w:rsidRDefault="00B95B8E" w:rsidP="000A0BF0">
      <w:pPr>
        <w:pStyle w:val="BodyText"/>
        <w:numPr>
          <w:ilvl w:val="0"/>
          <w:numId w:val="31"/>
        </w:numPr>
        <w:rPr>
          <w:rFonts w:ascii="Arial" w:hAnsi="Arial" w:cs="Arial"/>
        </w:rPr>
      </w:pPr>
      <w:r w:rsidRPr="00155C3A">
        <w:rPr>
          <w:rFonts w:ascii="Arial" w:hAnsi="Arial" w:cs="Arial"/>
        </w:rPr>
        <w:t>accessible and free of charge,</w:t>
      </w:r>
    </w:p>
    <w:p w14:paraId="345ACB81" w14:textId="77777777" w:rsidR="00B95B8E" w:rsidRPr="00155C3A" w:rsidRDefault="00B95B8E" w:rsidP="000A0BF0">
      <w:pPr>
        <w:pStyle w:val="BodyText"/>
        <w:numPr>
          <w:ilvl w:val="0"/>
          <w:numId w:val="31"/>
        </w:numPr>
        <w:rPr>
          <w:rFonts w:ascii="Arial" w:hAnsi="Arial" w:cs="Arial"/>
        </w:rPr>
      </w:pPr>
      <w:r w:rsidRPr="00155C3A">
        <w:rPr>
          <w:rFonts w:ascii="Arial" w:hAnsi="Arial" w:cs="Arial"/>
        </w:rPr>
        <w:t>transparent and predictable,</w:t>
      </w:r>
    </w:p>
    <w:p w14:paraId="1A3DE490" w14:textId="77777777" w:rsidR="00B95B8E" w:rsidRPr="00155C3A" w:rsidRDefault="00B95B8E" w:rsidP="000A0BF0">
      <w:pPr>
        <w:pStyle w:val="BodyText"/>
        <w:numPr>
          <w:ilvl w:val="0"/>
          <w:numId w:val="31"/>
        </w:numPr>
        <w:rPr>
          <w:rFonts w:ascii="Arial" w:hAnsi="Arial" w:cs="Arial"/>
        </w:rPr>
      </w:pPr>
      <w:r w:rsidRPr="00155C3A">
        <w:rPr>
          <w:rFonts w:ascii="Arial" w:hAnsi="Arial" w:cs="Arial"/>
        </w:rPr>
        <w:t>responsive and fair,</w:t>
      </w:r>
    </w:p>
    <w:p w14:paraId="537633D7" w14:textId="6BECB2BB" w:rsidR="00B95B8E" w:rsidRPr="00155C3A" w:rsidRDefault="00B95B8E" w:rsidP="000A0BF0">
      <w:pPr>
        <w:pStyle w:val="BodyText"/>
        <w:numPr>
          <w:ilvl w:val="0"/>
          <w:numId w:val="31"/>
        </w:numPr>
        <w:rPr>
          <w:rFonts w:ascii="Arial" w:hAnsi="Arial" w:cs="Arial"/>
        </w:rPr>
      </w:pPr>
      <w:r w:rsidRPr="00155C3A">
        <w:rPr>
          <w:rFonts w:ascii="Arial" w:hAnsi="Arial" w:cs="Arial"/>
        </w:rPr>
        <w:t>open to all stakeholders, including anonymous complaints.</w:t>
      </w:r>
    </w:p>
    <w:p w14:paraId="78AF9C8A" w14:textId="0512C4BE" w:rsidR="00B95B8E" w:rsidRPr="00155C3A" w:rsidRDefault="00B95B8E" w:rsidP="00B95B8E">
      <w:pPr>
        <w:pStyle w:val="BodyText"/>
        <w:rPr>
          <w:rFonts w:ascii="Arial" w:hAnsi="Arial" w:cs="Arial"/>
        </w:rPr>
      </w:pPr>
      <w:r w:rsidRPr="00155C3A">
        <w:rPr>
          <w:rFonts w:ascii="Arial" w:hAnsi="Arial" w:cs="Arial"/>
        </w:rPr>
        <w:t>Grievances can be submitted through multiple channels (verbally or in writing) and are formally recorded, assessed and resolved within defined timeframes depending on their severity.</w:t>
      </w:r>
    </w:p>
    <w:p w14:paraId="04154762" w14:textId="05AE7600" w:rsidR="004F6C54" w:rsidRPr="00155C3A" w:rsidRDefault="00B95B8E" w:rsidP="00B95B8E">
      <w:pPr>
        <w:pStyle w:val="BodyText"/>
        <w:rPr>
          <w:rFonts w:ascii="Arial" w:hAnsi="Arial" w:cs="Arial"/>
        </w:rPr>
      </w:pPr>
      <w:r w:rsidRPr="00155C3A">
        <w:rPr>
          <w:rFonts w:ascii="Arial" w:hAnsi="Arial" w:cs="Arial"/>
        </w:rPr>
        <w:t>The process includes registration, assessment, investigation, communication of results and closure, with the possibility for stakeholders to access external legal remedies if not satisfied.</w:t>
      </w:r>
    </w:p>
    <w:p w14:paraId="10F1966D" w14:textId="77777777" w:rsidR="004F6C54" w:rsidRPr="00155C3A" w:rsidRDefault="004F6C54">
      <w:pPr>
        <w:spacing w:after="200" w:line="276" w:lineRule="auto"/>
        <w:rPr>
          <w:rFonts w:ascii="Arial" w:hAnsi="Arial" w:cs="Arial"/>
        </w:rPr>
      </w:pPr>
      <w:r w:rsidRPr="00155C3A">
        <w:rPr>
          <w:rFonts w:ascii="Arial" w:hAnsi="Arial" w:cs="Arial"/>
        </w:rPr>
        <w:br w:type="page"/>
      </w:r>
    </w:p>
    <w:tbl>
      <w:tblPr>
        <w:tblStyle w:val="TableGrid"/>
        <w:tblW w:w="0" w:type="auto"/>
        <w:tblBorders>
          <w:top w:val="single" w:sz="4" w:space="0" w:color="4E8542" w:themeColor="accent4"/>
          <w:left w:val="single" w:sz="4" w:space="0" w:color="4E8542" w:themeColor="accent4"/>
          <w:bottom w:val="single" w:sz="4" w:space="0" w:color="4E8542" w:themeColor="accent4"/>
          <w:right w:val="single" w:sz="4" w:space="0" w:color="4E8542" w:themeColor="accent4"/>
          <w:insideH w:val="none" w:sz="0" w:space="0" w:color="auto"/>
          <w:insideV w:val="none" w:sz="0" w:space="0" w:color="auto"/>
        </w:tblBorders>
        <w:shd w:val="clear" w:color="auto" w:fill="F2CDD1" w:themeFill="accent2" w:themeFillTint="33"/>
        <w:tblLook w:val="04A0" w:firstRow="1" w:lastRow="0" w:firstColumn="1" w:lastColumn="0" w:noHBand="0" w:noVBand="1"/>
      </w:tblPr>
      <w:tblGrid>
        <w:gridCol w:w="9905"/>
      </w:tblGrid>
      <w:tr w:rsidR="00B95B8E" w:rsidRPr="00155C3A" w14:paraId="29BA5880" w14:textId="77777777" w:rsidTr="00B95B8E">
        <w:tc>
          <w:tcPr>
            <w:tcW w:w="9905" w:type="dxa"/>
            <w:shd w:val="clear" w:color="auto" w:fill="F2CDD1" w:themeFill="accent2" w:themeFillTint="33"/>
          </w:tcPr>
          <w:p w14:paraId="616836C4" w14:textId="2D8A863A" w:rsidR="00B95B8E" w:rsidRPr="00155C3A" w:rsidRDefault="00B95B8E" w:rsidP="00B95B8E">
            <w:pPr>
              <w:pStyle w:val="BodyText"/>
              <w:rPr>
                <w:rFonts w:ascii="Arial" w:hAnsi="Arial" w:cs="Arial"/>
                <w:b/>
                <w:bCs/>
              </w:rPr>
            </w:pPr>
            <w:r w:rsidRPr="00155C3A">
              <w:rPr>
                <w:rFonts w:ascii="Arial" w:hAnsi="Arial" w:cs="Arial"/>
                <w:b/>
                <w:bCs/>
              </w:rPr>
              <w:lastRenderedPageBreak/>
              <w:t>BOX 1</w:t>
            </w:r>
          </w:p>
          <w:p w14:paraId="43C02A59" w14:textId="173B84F4" w:rsidR="00B95B8E" w:rsidRPr="00155C3A" w:rsidRDefault="00B95B8E" w:rsidP="00B95B8E">
            <w:pPr>
              <w:pStyle w:val="BodyText"/>
              <w:rPr>
                <w:rFonts w:ascii="Arial" w:hAnsi="Arial" w:cs="Arial"/>
                <w:b/>
                <w:bCs/>
                <w:u w:val="single"/>
              </w:rPr>
            </w:pPr>
            <w:r w:rsidRPr="00155C3A">
              <w:rPr>
                <w:rFonts w:ascii="Arial" w:hAnsi="Arial" w:cs="Arial"/>
                <w:b/>
                <w:bCs/>
                <w:u w:val="single"/>
              </w:rPr>
              <w:t>How to Submit a Grievance</w:t>
            </w:r>
          </w:p>
          <w:p w14:paraId="3E25746B" w14:textId="77777777" w:rsidR="00B95B8E" w:rsidRPr="00155C3A" w:rsidRDefault="00B95B8E" w:rsidP="00B95B8E">
            <w:pPr>
              <w:pStyle w:val="BodyText"/>
              <w:rPr>
                <w:rFonts w:ascii="Arial" w:hAnsi="Arial" w:cs="Arial"/>
              </w:rPr>
            </w:pPr>
            <w:r w:rsidRPr="00155C3A">
              <w:rPr>
                <w:rFonts w:ascii="Arial" w:hAnsi="Arial" w:cs="Arial"/>
              </w:rPr>
              <w:t>Stakeholders can submit complaints or requests for information through the following channels:</w:t>
            </w:r>
          </w:p>
          <w:p w14:paraId="3DF00FC7" w14:textId="77777777" w:rsidR="00B95B8E" w:rsidRPr="00155C3A" w:rsidRDefault="00B95B8E" w:rsidP="000A0BF0">
            <w:pPr>
              <w:pStyle w:val="BodyText"/>
              <w:numPr>
                <w:ilvl w:val="0"/>
                <w:numId w:val="32"/>
              </w:numPr>
              <w:rPr>
                <w:rFonts w:ascii="Arial" w:hAnsi="Arial" w:cs="Arial"/>
              </w:rPr>
            </w:pPr>
            <w:r w:rsidRPr="00155C3A">
              <w:rPr>
                <w:rFonts w:ascii="Arial" w:hAnsi="Arial" w:cs="Arial"/>
                <w:b/>
                <w:bCs/>
              </w:rPr>
              <w:t>Community Liaison Officer (CLO):</w:t>
            </w:r>
          </w:p>
          <w:p w14:paraId="3D9A1624" w14:textId="77777777" w:rsidR="00B95B8E" w:rsidRPr="00155C3A" w:rsidRDefault="00B95B8E" w:rsidP="000A0BF0">
            <w:pPr>
              <w:pStyle w:val="BodyText"/>
              <w:numPr>
                <w:ilvl w:val="1"/>
                <w:numId w:val="32"/>
              </w:numPr>
              <w:rPr>
                <w:rFonts w:ascii="Arial" w:hAnsi="Arial" w:cs="Arial"/>
              </w:rPr>
            </w:pPr>
            <w:r w:rsidRPr="00155C3A">
              <w:rPr>
                <w:rFonts w:ascii="Arial" w:hAnsi="Arial" w:cs="Arial"/>
              </w:rPr>
              <w:t xml:space="preserve">Name: </w:t>
            </w:r>
            <w:r w:rsidRPr="00155C3A">
              <w:rPr>
                <w:rFonts w:ascii="Arial" w:hAnsi="Arial" w:cs="Arial"/>
                <w:b/>
                <w:bCs/>
              </w:rPr>
              <w:t xml:space="preserve">Sorin </w:t>
            </w:r>
            <w:proofErr w:type="spellStart"/>
            <w:r w:rsidRPr="00155C3A">
              <w:rPr>
                <w:rFonts w:ascii="Arial" w:hAnsi="Arial" w:cs="Arial"/>
                <w:b/>
                <w:bCs/>
              </w:rPr>
              <w:t>Blidaru</w:t>
            </w:r>
            <w:proofErr w:type="spellEnd"/>
          </w:p>
          <w:p w14:paraId="5B503C8B" w14:textId="77777777" w:rsidR="00B95B8E" w:rsidRPr="00155C3A" w:rsidRDefault="00B95B8E" w:rsidP="000A0BF0">
            <w:pPr>
              <w:pStyle w:val="BodyText"/>
              <w:numPr>
                <w:ilvl w:val="1"/>
                <w:numId w:val="32"/>
              </w:numPr>
              <w:rPr>
                <w:rFonts w:ascii="Arial" w:hAnsi="Arial" w:cs="Arial"/>
              </w:rPr>
            </w:pPr>
            <w:r w:rsidRPr="00155C3A">
              <w:rPr>
                <w:rFonts w:ascii="Arial" w:hAnsi="Arial" w:cs="Arial"/>
              </w:rPr>
              <w:t xml:space="preserve">Phone: </w:t>
            </w:r>
            <w:r w:rsidRPr="00155C3A">
              <w:rPr>
                <w:rFonts w:ascii="Arial" w:hAnsi="Arial" w:cs="Arial"/>
                <w:b/>
                <w:bCs/>
              </w:rPr>
              <w:t>+40 768 064 467</w:t>
            </w:r>
          </w:p>
          <w:p w14:paraId="302F75B1" w14:textId="5B2D966C" w:rsidR="00B95B8E" w:rsidRPr="00155C3A" w:rsidRDefault="00B95B8E" w:rsidP="000A0BF0">
            <w:pPr>
              <w:pStyle w:val="BodyText"/>
              <w:numPr>
                <w:ilvl w:val="1"/>
                <w:numId w:val="32"/>
              </w:numPr>
              <w:rPr>
                <w:rFonts w:ascii="Arial" w:hAnsi="Arial" w:cs="Arial"/>
              </w:rPr>
            </w:pPr>
            <w:r w:rsidRPr="00155C3A">
              <w:rPr>
                <w:rFonts w:ascii="Arial" w:hAnsi="Arial" w:cs="Arial"/>
              </w:rPr>
              <w:t xml:space="preserve">Email: </w:t>
            </w:r>
            <w:r w:rsidRPr="00155C3A">
              <w:rPr>
                <w:rFonts w:ascii="Arial" w:hAnsi="Arial" w:cs="Arial"/>
                <w:b/>
                <w:bCs/>
              </w:rPr>
              <w:t>blidaru.sorin@yahoo.com</w:t>
            </w:r>
            <w:r w:rsidRPr="00155C3A">
              <w:rPr>
                <w:rFonts w:ascii="Arial" w:hAnsi="Arial" w:cs="Arial"/>
              </w:rPr>
              <w:t>.</w:t>
            </w:r>
          </w:p>
          <w:p w14:paraId="27C2CEEF" w14:textId="77777777" w:rsidR="00B95B8E" w:rsidRPr="00155C3A" w:rsidRDefault="00B95B8E" w:rsidP="000A0BF0">
            <w:pPr>
              <w:pStyle w:val="BodyText"/>
              <w:numPr>
                <w:ilvl w:val="0"/>
                <w:numId w:val="32"/>
              </w:numPr>
              <w:rPr>
                <w:rFonts w:ascii="Arial" w:hAnsi="Arial" w:cs="Arial"/>
              </w:rPr>
            </w:pPr>
            <w:r w:rsidRPr="00155C3A">
              <w:rPr>
                <w:rFonts w:ascii="Arial" w:hAnsi="Arial" w:cs="Arial"/>
                <w:b/>
                <w:bCs/>
              </w:rPr>
              <w:t>Hotline:</w:t>
            </w:r>
          </w:p>
          <w:p w14:paraId="7789732C" w14:textId="2D7DB6C7" w:rsidR="00B95B8E" w:rsidRPr="00155C3A" w:rsidRDefault="00B95B8E" w:rsidP="000A0BF0">
            <w:pPr>
              <w:pStyle w:val="BodyText"/>
              <w:numPr>
                <w:ilvl w:val="1"/>
                <w:numId w:val="32"/>
              </w:numPr>
              <w:rPr>
                <w:rFonts w:ascii="Arial" w:hAnsi="Arial" w:cs="Arial"/>
              </w:rPr>
            </w:pPr>
            <w:r w:rsidRPr="00155C3A">
              <w:rPr>
                <w:rFonts w:ascii="Arial" w:hAnsi="Arial" w:cs="Arial"/>
              </w:rPr>
              <w:t>+40 752 243 522</w:t>
            </w:r>
          </w:p>
          <w:p w14:paraId="6F1462B5" w14:textId="77777777" w:rsidR="00B95B8E" w:rsidRPr="00155C3A" w:rsidRDefault="00B95B8E" w:rsidP="000A0BF0">
            <w:pPr>
              <w:pStyle w:val="BodyText"/>
              <w:numPr>
                <w:ilvl w:val="0"/>
                <w:numId w:val="32"/>
              </w:numPr>
              <w:rPr>
                <w:rFonts w:ascii="Arial" w:hAnsi="Arial" w:cs="Arial"/>
              </w:rPr>
            </w:pPr>
            <w:r w:rsidRPr="00155C3A">
              <w:rPr>
                <w:rFonts w:ascii="Arial" w:hAnsi="Arial" w:cs="Arial"/>
                <w:b/>
                <w:bCs/>
              </w:rPr>
              <w:t>In person:</w:t>
            </w:r>
          </w:p>
          <w:p w14:paraId="7C1BA02D" w14:textId="77777777" w:rsidR="00B95B8E" w:rsidRPr="00155C3A" w:rsidRDefault="00B95B8E" w:rsidP="000A0BF0">
            <w:pPr>
              <w:pStyle w:val="BodyText"/>
              <w:numPr>
                <w:ilvl w:val="1"/>
                <w:numId w:val="32"/>
              </w:numPr>
              <w:rPr>
                <w:rFonts w:ascii="Arial" w:hAnsi="Arial" w:cs="Arial"/>
              </w:rPr>
            </w:pPr>
            <w:r w:rsidRPr="00155C3A">
              <w:rPr>
                <w:rFonts w:ascii="Arial" w:hAnsi="Arial" w:cs="Arial"/>
              </w:rPr>
              <w:t>Directly to the CLO or project representatives</w:t>
            </w:r>
          </w:p>
          <w:p w14:paraId="4ADCEA3D" w14:textId="77777777" w:rsidR="00B95B8E" w:rsidRPr="00155C3A" w:rsidRDefault="00B95B8E" w:rsidP="000A0BF0">
            <w:pPr>
              <w:pStyle w:val="BodyText"/>
              <w:numPr>
                <w:ilvl w:val="0"/>
                <w:numId w:val="32"/>
              </w:numPr>
              <w:rPr>
                <w:rFonts w:ascii="Arial" w:hAnsi="Arial" w:cs="Arial"/>
              </w:rPr>
            </w:pPr>
            <w:r w:rsidRPr="00155C3A">
              <w:rPr>
                <w:rFonts w:ascii="Arial" w:hAnsi="Arial" w:cs="Arial"/>
                <w:b/>
                <w:bCs/>
              </w:rPr>
              <w:t>Written submission:</w:t>
            </w:r>
          </w:p>
          <w:p w14:paraId="181304CC" w14:textId="77777777" w:rsidR="00B95B8E" w:rsidRPr="00155C3A" w:rsidRDefault="00B95B8E" w:rsidP="000A0BF0">
            <w:pPr>
              <w:pStyle w:val="BodyText"/>
              <w:numPr>
                <w:ilvl w:val="1"/>
                <w:numId w:val="32"/>
              </w:numPr>
              <w:rPr>
                <w:rFonts w:ascii="Arial" w:hAnsi="Arial" w:cs="Arial"/>
              </w:rPr>
            </w:pPr>
            <w:r w:rsidRPr="00155C3A">
              <w:rPr>
                <w:rFonts w:ascii="Arial" w:hAnsi="Arial" w:cs="Arial"/>
              </w:rPr>
              <w:t xml:space="preserve">Grievance forms available in local mayoralty offices (e.g. </w:t>
            </w:r>
            <w:proofErr w:type="spellStart"/>
            <w:r w:rsidRPr="00155C3A">
              <w:rPr>
                <w:rFonts w:ascii="Arial" w:hAnsi="Arial" w:cs="Arial"/>
              </w:rPr>
              <w:t>Deleni</w:t>
            </w:r>
            <w:proofErr w:type="spellEnd"/>
            <w:r w:rsidRPr="00155C3A">
              <w:rPr>
                <w:rFonts w:ascii="Arial" w:hAnsi="Arial" w:cs="Arial"/>
              </w:rPr>
              <w:t xml:space="preserve"> Commune Hall)</w:t>
            </w:r>
          </w:p>
          <w:p w14:paraId="2CABC966" w14:textId="77777777" w:rsidR="00B95B8E" w:rsidRPr="00155C3A" w:rsidRDefault="00B95B8E" w:rsidP="000A0BF0">
            <w:pPr>
              <w:pStyle w:val="BodyText"/>
              <w:numPr>
                <w:ilvl w:val="1"/>
                <w:numId w:val="32"/>
              </w:numPr>
              <w:rPr>
                <w:rFonts w:ascii="Arial" w:hAnsi="Arial" w:cs="Arial"/>
              </w:rPr>
            </w:pPr>
            <w:r w:rsidRPr="00155C3A">
              <w:rPr>
                <w:rFonts w:ascii="Arial" w:hAnsi="Arial" w:cs="Arial"/>
              </w:rPr>
              <w:t>Online via the Project website</w:t>
            </w:r>
          </w:p>
          <w:p w14:paraId="555A05E0" w14:textId="77777777" w:rsidR="00B95B8E" w:rsidRPr="00155C3A" w:rsidRDefault="00B95B8E" w:rsidP="000A0BF0">
            <w:pPr>
              <w:pStyle w:val="BodyText"/>
              <w:numPr>
                <w:ilvl w:val="0"/>
                <w:numId w:val="32"/>
              </w:numPr>
              <w:rPr>
                <w:rFonts w:ascii="Arial" w:hAnsi="Arial" w:cs="Arial"/>
              </w:rPr>
            </w:pPr>
            <w:r w:rsidRPr="00155C3A">
              <w:rPr>
                <w:rFonts w:ascii="Arial" w:hAnsi="Arial" w:cs="Arial"/>
                <w:b/>
                <w:bCs/>
              </w:rPr>
              <w:t>Grievance boxes:</w:t>
            </w:r>
          </w:p>
          <w:p w14:paraId="79A04893" w14:textId="77777777" w:rsidR="00B95B8E" w:rsidRPr="00155C3A" w:rsidRDefault="00B95B8E" w:rsidP="000A0BF0">
            <w:pPr>
              <w:pStyle w:val="BodyText"/>
              <w:numPr>
                <w:ilvl w:val="1"/>
                <w:numId w:val="32"/>
              </w:numPr>
              <w:rPr>
                <w:rFonts w:ascii="Arial" w:hAnsi="Arial" w:cs="Arial"/>
              </w:rPr>
            </w:pPr>
            <w:r w:rsidRPr="00155C3A">
              <w:rPr>
                <w:rFonts w:ascii="Arial" w:hAnsi="Arial" w:cs="Arial"/>
              </w:rPr>
              <w:t>Available in local community offices</w:t>
            </w:r>
          </w:p>
          <w:p w14:paraId="63896A27" w14:textId="19E592C0" w:rsidR="00B95B8E" w:rsidRPr="00155C3A" w:rsidRDefault="00B95B8E" w:rsidP="00B95B8E">
            <w:pPr>
              <w:pStyle w:val="BodyText"/>
              <w:rPr>
                <w:rFonts w:ascii="Arial" w:hAnsi="Arial" w:cs="Arial"/>
                <w:b/>
                <w:bCs/>
              </w:rPr>
            </w:pPr>
            <w:r w:rsidRPr="00155C3A">
              <w:rPr>
                <w:rFonts w:ascii="Arial" w:hAnsi="Arial" w:cs="Arial"/>
              </w:rPr>
              <w:t xml:space="preserve">All complaints can be submitted </w:t>
            </w:r>
            <w:r w:rsidRPr="00155C3A">
              <w:rPr>
                <w:rFonts w:ascii="Arial" w:hAnsi="Arial" w:cs="Arial"/>
                <w:b/>
                <w:bCs/>
              </w:rPr>
              <w:t>confidentially or anonymously</w:t>
            </w:r>
            <w:r w:rsidRPr="00155C3A">
              <w:rPr>
                <w:rFonts w:ascii="Arial" w:hAnsi="Arial" w:cs="Arial"/>
              </w:rPr>
              <w:t xml:space="preserve"> and will be addressed in a timely manner.</w:t>
            </w:r>
          </w:p>
        </w:tc>
      </w:tr>
      <w:bookmarkEnd w:id="4"/>
      <w:bookmarkEnd w:id="35"/>
    </w:tbl>
    <w:p w14:paraId="4694A49F" w14:textId="068BBE05" w:rsidR="00557E83" w:rsidRPr="00155C3A" w:rsidRDefault="00557E83" w:rsidP="006536CA">
      <w:pPr>
        <w:pStyle w:val="BodyText"/>
        <w:rPr>
          <w:rFonts w:ascii="Arial" w:hAnsi="Arial" w:cs="Arial"/>
        </w:rPr>
      </w:pPr>
    </w:p>
    <w:sectPr w:rsidR="00557E83" w:rsidRPr="00155C3A" w:rsidSect="007E3003">
      <w:footerReference w:type="default" r:id="rId36"/>
      <w:pgSz w:w="12240" w:h="15840"/>
      <w:pgMar w:top="1757" w:right="1134" w:bottom="1361" w:left="1191" w:header="774" w:footer="567"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3"/>
    </wne:keymap>
    <wne:keymap wne:kcmPrimary="0232">
      <wne:acd wne:acdName="acd34"/>
    </wne:keymap>
    <wne:keymap wne:kcmPrimary="0233">
      <wne:acd wne:acdName="acd35"/>
    </wne:keymap>
    <wne:keymap wne:kcmPrimary="0234">
      <wne:acd wne:acdName="acd36"/>
    </wne:keymap>
    <wne:keymap wne:kcmPrimary="0235">
      <wne:acd wne:acdName="acd37"/>
    </wne:keymap>
    <wne:keymap wne:kcmPrimary="0236">
      <wne:acd wne:acdName="acd38"/>
    </wne:keymap>
    <wne:keymap wne:kcmPrimary="0237">
      <wne:acd wne:acdName="acd7"/>
    </wne:keymap>
    <wne:keymap wne:kcmPrimary="0238">
      <wne:acd wne:acdName="acd8"/>
    </wne:keymap>
    <wne:keymap wne:kcmPrimary="0239">
      <wne:acd wne:acdName="acd9"/>
    </wne:keymap>
    <wne:keymap wne:kcmPrimary="0342">
      <wne:acd wne:acdName="acd32"/>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Entry wne:acdName="acd34"/>
      <wne:acdEntry wne:acdName="acd35"/>
      <wne:acdEntry wne:acdName="acd36"/>
      <wne:acdEntry wne:acdName="acd37"/>
      <wne:acdEntry wne:acdName="acd38"/>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cdName="acd11" wne:fciIndexBasedOn="0065"/>
    <wne:acd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cdName="acd22" wne:fciIndexBasedOn="0065"/>
    <wne:acd wne:acdName="acd23" wne:fciIndexBasedOn="0065"/>
    <wne:acd wne:acdName="acd24" wne:fciIndexBasedOn="0065"/>
    <wne:acd wne:acdName="acd25" wne:fciIndexBasedOn="0065"/>
    <wne:acd wne:acdName="acd26" wne:fciIndexBasedOn="0065"/>
    <wne:acd wne:acdName="acd27" wne:fciIndexBasedOn="0065"/>
    <wne:acd wne:acdName="acd28" wne:fciIndexBasedOn="0065"/>
    <wne:acd wne:acdName="acd29" wne:fciIndexBasedOn="0065"/>
    <wne:acd wne:acdName="acd30" wne:fciIndexBasedOn="0065"/>
    <wne:acd wne:acdName="acd31"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32"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33"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34"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7AEMAaABhAHAAIAAxADsATAAzAA==" wne:acdName="acd35"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36" wne:fciIndexBasedOn="0065"/>
    <wne:acd wne:argValue="AgBIAGUAYQBkAGkAbgBnACAANQA7AGgANQA7AGgAZQBhAGQAaQBuAGcAIAA1ADsARAAgAEgAZQBh&#10;AGQAOwBCAGwAbwBjAGsAIABMAGEAYgBlAGwAOwBPAEcAIABBAHAAcABlAG4AZABpAHgAOwBSAFMA&#10;SwBIADUAOwBGAGkAZwB1AHIAZQA7AEYAdQByAHQAaABlAHIAIABQAG8AaQBuAHQAcwA=" wne:acdName="acd37" wne:fciIndexBasedOn="0065"/>
    <wne:acd wne:argValue="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" wne:acdName="acd3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6B183" w14:textId="77777777" w:rsidR="006F5A20" w:rsidRDefault="006F5A20">
      <w:r>
        <w:separator/>
      </w:r>
    </w:p>
  </w:endnote>
  <w:endnote w:type="continuationSeparator" w:id="0">
    <w:p w14:paraId="00E15720" w14:textId="77777777" w:rsidR="006F5A20" w:rsidRDefault="006F5A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Neue">
    <w:altName w:val="Sylfaen"/>
    <w:charset w:val="00"/>
    <w:family w:val="auto"/>
    <w:pitch w:val="variable"/>
    <w:sig w:usb0="E50002FF" w:usb1="500079DB" w:usb2="0000001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010BB72F" w:rsidR="008723DE" w:rsidRDefault="00F458A5" w:rsidP="0003319A">
          <w:pPr>
            <w:keepNext/>
            <w:jc w:val="center"/>
          </w:pPr>
          <w:r w:rsidRPr="007E757B">
            <w:rPr>
              <w:b/>
              <w:bCs/>
              <w:noProof/>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rPr>
                                    <w:noProof w:val="0"/>
                                  </w:rPr>
                                  <w:id w:val="568603642"/>
                                  <w:placeholder>
                                    <w:docPart w:val="BA8504C1A8A24AD7B1D14B5FAE6597CD"/>
                                  </w:placeholder>
                                  <w:temporary/>
                                  <w:showingPlcHdr/>
                                </w:sdtPr>
                                <w:sdtContent>
                                  <w:p w14:paraId="2E9A9D3F" w14:textId="77777777" w:rsidR="008723DE" w:rsidRPr="00ED4022" w:rsidRDefault="00F458A5" w:rsidP="000A4073">
                                    <w:pPr>
                                      <w:pStyle w:val="DNVGL-Hidden"/>
                                      <w:rPr>
                                        <w:noProof w:val="0"/>
                                      </w:rPr>
                                    </w:pPr>
                                    <w:r w:rsidRPr="00ED4022">
                                      <w:rPr>
                                        <w:noProof w:val="0"/>
                                      </w:rPr>
                                      <w:t>This picture may be replaced by a picture relevant to this document, e.g depicting the asset addressed in the document. However, any image or picture used must be DNV property (e.g. downloaded from Brand Central) or DNV must have permission from owner to use it.</w:t>
                                    </w:r>
                                  </w:p>
                                  <w:p w14:paraId="7C8F372D" w14:textId="77777777" w:rsidR="008723DE" w:rsidRPr="00ED4022" w:rsidRDefault="00F458A5" w:rsidP="000A4073">
                                    <w:pPr>
                                      <w:pStyle w:val="DNVGL-Hidden"/>
                                      <w:rPr>
                                        <w:noProof w:val="0"/>
                                      </w:rPr>
                                    </w:pPr>
                                    <w:r w:rsidRPr="00ED4022">
                                      <w:rPr>
                                        <w:noProof w:val="0"/>
                                      </w:rPr>
                                      <w:t xml:space="preserve">Easy way to replace picture: </w:t>
                                    </w:r>
                                  </w:p>
                                  <w:p w14:paraId="1D44A985" w14:textId="77777777" w:rsidR="008723DE" w:rsidRPr="00ED4022" w:rsidRDefault="00F458A5" w:rsidP="000A4073">
                                    <w:pPr>
                                      <w:pStyle w:val="DNVGL-Hidden"/>
                                      <w:rPr>
                                        <w:noProof w:val="0"/>
                                      </w:rPr>
                                    </w:pPr>
                                    <w:r w:rsidRPr="00ED4022">
                                      <w:rPr>
                                        <w:noProof w:val="0"/>
                                      </w:rPr>
                                      <w:t>Double-click on the picture, right-click, select “Change Picture”…</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6131338">
                  <v:shapetype id="_x0000_t202" coordsize="21600,21600" o:spt="202" path="m,l,21600r21600,l21600,xe" w14:anchorId="78175F22">
                    <v:stroke joinstyle="miter"/>
                    <v:path gradientshapeok="t" o:connecttype="rect"/>
                  </v:shapetype>
                  <v:shape id="Text Box 2"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v:textbox>
                      <w:txbxContent>
                        <w:sdt>
                          <w:sdtPr>
                            <w:id w:val="83503549"/>
                            <w:rPr>
                              <w:noProof w:val="0"/>
                            </w:rPr>
                            <w:id w:val="568603642"/>
                            <w:placeholder>
                              <w:docPart w:val="BA8504C1A8A24AD7B1D14B5FAE6597CD"/>
                            </w:placeholder>
                            <w:temporary/>
                            <w:showingPlcHdr/>
                          </w:sdtPr>
                          <w:sdtEndPr/>
                          <w:sdtContent>
                            <w:p w:rsidRPr="00ED4022" w:rsidR="008723DE" w:rsidP="000A4073" w:rsidRDefault="00F458A5" w14:paraId="238A51ED" w14:textId="77777777">
                              <w:pPr>
                                <w:pStyle w:val="DNVGL-Hidden"/>
                                <w:rPr>
                                  <w:noProof w:val="0"/>
                                </w:rPr>
                              </w:pPr>
                              <w:r w:rsidRPr="00ED4022">
                                <w:rPr>
                                  <w:noProof w:val="0"/>
                                </w:rPr>
                                <w:t>This picture may be replaced by a picture relevant to this document, e.g depicting the asset addressed in the document. However, any image or picture used must be DNV property (e.g. downloaded from Brand Central) or DNV must have permission from owner to use it.</w:t>
                              </w:r>
                            </w:p>
                            <w:p w:rsidRPr="00ED4022" w:rsidR="008723DE" w:rsidP="000A4073" w:rsidRDefault="00F458A5" w14:paraId="46BBE3C8" w14:textId="77777777">
                              <w:pPr>
                                <w:pStyle w:val="DNVGL-Hidden"/>
                                <w:rPr>
                                  <w:noProof w:val="0"/>
                                </w:rPr>
                              </w:pPr>
                              <w:r w:rsidRPr="00ED4022">
                                <w:rPr>
                                  <w:noProof w:val="0"/>
                                </w:rPr>
                                <w:t xml:space="preserve">Easy way to replace picture: </w:t>
                              </w:r>
                            </w:p>
                            <w:p w:rsidRPr="00ED4022" w:rsidR="008723DE" w:rsidP="000A4073" w:rsidRDefault="00F458A5" w14:paraId="0D7C87E2" w14:textId="77777777">
                              <w:pPr>
                                <w:pStyle w:val="DNVGL-Hidden"/>
                                <w:rPr>
                                  <w:noProof w:val="0"/>
                                </w:rPr>
                              </w:pPr>
                              <w:r w:rsidRPr="00ED4022">
                                <w:rPr>
                                  <w:noProof w:val="0"/>
                                </w:rPr>
                                <w:t>Double-click on the picture, right-click, select “Change Picture”…</w:t>
                              </w:r>
                            </w:p>
                          </w:sdtContent>
                        </w:sdt>
                      </w:txbxContent>
                    </v:textbox>
                  </v:shape>
                </w:pict>
              </mc:Fallback>
            </mc:AlternateContent>
          </w:r>
        </w:p>
      </w:tc>
    </w:tr>
  </w:tbl>
  <w:p w14:paraId="004D54FE" w14:textId="77777777" w:rsidR="00866BDC" w:rsidRDefault="00866BDC">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77777777" w:rsidR="008723DE" w:rsidRDefault="008723DE">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43954949"/>
      <w:docPartObj>
        <w:docPartGallery w:val="Page Numbers (Bottom of Page)"/>
        <w:docPartUnique/>
      </w:docPartObj>
    </w:sdtPr>
    <w:sdtEndPr>
      <w:rPr>
        <w:noProof/>
      </w:rPr>
    </w:sdtEndPr>
    <w:sdtContent>
      <w:p w14:paraId="3CEFF8A8" w14:textId="29CF4928" w:rsidR="00155C3A" w:rsidRDefault="00155C3A">
        <w:pPr>
          <w:pStyle w:val="Foot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1A956AD" w14:textId="77777777" w:rsidR="008723DE" w:rsidRDefault="008723DE">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77777777" w:rsidR="008723DE" w:rsidRDefault="008723DE">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242327676"/>
      <w:docPartObj>
        <w:docPartGallery w:val="Page Numbers (Bottom of Page)"/>
        <w:docPartUnique/>
      </w:docPartObj>
    </w:sdtPr>
    <w:sdtEndPr>
      <w:rPr>
        <w:noProof/>
        <w:sz w:val="32"/>
        <w:szCs w:val="32"/>
      </w:rPr>
    </w:sdtEndPr>
    <w:sdtContent>
      <w:p w14:paraId="3F8EC271" w14:textId="48009FAB" w:rsidR="00155C3A" w:rsidRPr="00FA5900" w:rsidRDefault="00155C3A">
        <w:pPr>
          <w:pStyle w:val="Footer"/>
          <w:jc w:val="center"/>
          <w:rPr>
            <w:rFonts w:cstheme="minorHAnsi"/>
            <w:sz w:val="20"/>
            <w:szCs w:val="36"/>
          </w:rPr>
        </w:pPr>
        <w:r w:rsidRPr="00FA5900">
          <w:rPr>
            <w:rFonts w:cstheme="minorHAnsi"/>
            <w:noProof w:val="0"/>
            <w:sz w:val="20"/>
            <w:szCs w:val="36"/>
          </w:rPr>
          <w:fldChar w:fldCharType="begin"/>
        </w:r>
        <w:r w:rsidRPr="00FA5900">
          <w:rPr>
            <w:rFonts w:cstheme="minorHAnsi"/>
            <w:sz w:val="20"/>
            <w:szCs w:val="36"/>
          </w:rPr>
          <w:instrText xml:space="preserve"> PAGE   \* MERGEFORMAT </w:instrText>
        </w:r>
        <w:r w:rsidRPr="00FA5900">
          <w:rPr>
            <w:rFonts w:cstheme="minorHAnsi"/>
            <w:noProof w:val="0"/>
            <w:sz w:val="20"/>
            <w:szCs w:val="36"/>
          </w:rPr>
          <w:fldChar w:fldCharType="separate"/>
        </w:r>
        <w:r w:rsidRPr="00FA5900">
          <w:rPr>
            <w:rFonts w:cstheme="minorHAnsi"/>
            <w:sz w:val="20"/>
            <w:szCs w:val="36"/>
          </w:rPr>
          <w:t>2</w:t>
        </w:r>
        <w:r w:rsidRPr="00FA5900">
          <w:rPr>
            <w:rFonts w:cstheme="minorHAnsi"/>
            <w:sz w:val="20"/>
            <w:szCs w:val="36"/>
          </w:rPr>
          <w:fldChar w:fldCharType="end"/>
        </w:r>
      </w:p>
    </w:sdtContent>
  </w:sdt>
  <w:p w14:paraId="3FEFC9E8" w14:textId="77777777" w:rsidR="00AD3E7C" w:rsidRDefault="00AD3E7C">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CC53A" w14:textId="77777777" w:rsidR="006F5A20" w:rsidRDefault="006F5A20">
      <w:r>
        <w:separator/>
      </w:r>
    </w:p>
  </w:footnote>
  <w:footnote w:type="continuationSeparator" w:id="0">
    <w:p w14:paraId="21E24B1E" w14:textId="77777777" w:rsidR="006F5A20" w:rsidRDefault="006F5A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77777777" w:rsidR="008723DE" w:rsidRPr="00EE3177" w:rsidRDefault="00F458A5" w:rsidP="0053319D">
          <w:r w:rsidRPr="004C6E70">
            <w:rPr>
              <w:noProof/>
              <w:sz w:val="2"/>
            </w:rPr>
            <w:drawing>
              <wp:inline distT="0" distB="0" distL="0" distR="0" wp14:anchorId="128D9CA7" wp14:editId="5DBF76B4">
                <wp:extent cx="1479600" cy="730800"/>
                <wp:effectExtent l="0" t="0" r="0" b="0"/>
                <wp:docPr id="1619541961" name="Picture 16195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Content>
            <w:p w14:paraId="0A4DFA7D" w14:textId="77777777" w:rsidR="008723DE" w:rsidRDefault="00F458A5"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4F7EB1">
      <w:trPr>
        <w:trHeight w:val="270"/>
      </w:trPr>
      <w:tc>
        <w:tcPr>
          <w:tcW w:w="4899" w:type="dxa"/>
        </w:tcPr>
        <w:p w14:paraId="1E0302C9" w14:textId="1DDB9D95" w:rsidR="008723DE" w:rsidRPr="00EE3177" w:rsidRDefault="008723DE" w:rsidP="00901A3C"/>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Content>
            <w:p w14:paraId="748E9E07" w14:textId="77777777" w:rsidR="008723DE" w:rsidRDefault="00F458A5"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0D390DFC" w:rsidR="00866BDC" w:rsidRPr="00866BDC" w:rsidRDefault="004F7EB1">
    <w:pPr>
      <w:pStyle w:val="Header"/>
      <w:rPr>
        <w:sz w:val="2"/>
      </w:rPr>
    </w:pPr>
    <w:r w:rsidRPr="00AB58A2">
      <w:rPr>
        <w:rFonts w:cs="Arial"/>
        <w:sz w:val="24"/>
      </w:rPr>
      <w:drawing>
        <wp:anchor distT="0" distB="0" distL="114300" distR="114300" simplePos="0" relativeHeight="251660288" behindDoc="0" locked="0" layoutInCell="1" allowOverlap="1" wp14:anchorId="301BF86B" wp14:editId="376C9261">
          <wp:simplePos x="0" y="0"/>
          <wp:positionH relativeFrom="margin">
            <wp:posOffset>5743575</wp:posOffset>
          </wp:positionH>
          <wp:positionV relativeFrom="topMargin">
            <wp:posOffset>172085</wp:posOffset>
          </wp:positionV>
          <wp:extent cx="742950" cy="713740"/>
          <wp:effectExtent l="0" t="0" r="0" b="0"/>
          <wp:wrapThrough wrapText="bothSides">
            <wp:wrapPolygon edited="0">
              <wp:start x="8862" y="0"/>
              <wp:lineTo x="5538" y="1730"/>
              <wp:lineTo x="2769" y="5765"/>
              <wp:lineTo x="3323" y="9224"/>
              <wp:lineTo x="0" y="16142"/>
              <wp:lineTo x="0" y="20754"/>
              <wp:lineTo x="13846" y="20754"/>
              <wp:lineTo x="16615" y="20754"/>
              <wp:lineTo x="21046" y="20754"/>
              <wp:lineTo x="21046" y="17872"/>
              <wp:lineTo x="18277" y="9224"/>
              <wp:lineTo x="19385" y="6918"/>
              <wp:lineTo x="16615" y="2883"/>
              <wp:lineTo x="12738" y="0"/>
              <wp:lineTo x="8862" y="0"/>
            </wp:wrapPolygon>
          </wp:wrapThrough>
          <wp:docPr id="606801409" name="Picture 1" descr="A yellow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76464" name="Picture 1" descr="A yellow and orange logo&#10;&#10;AI-generated content may be incorrect."/>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2950" cy="71374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77777777" w:rsidR="008723DE" w:rsidRDefault="008723DE">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0682C" w14:textId="23451D65" w:rsidR="008723DE" w:rsidRDefault="00155C3A">
    <w:pPr>
      <w:pStyle w:val="Header"/>
      <w:rPr>
        <w:sz w:val="2"/>
      </w:rPr>
    </w:pPr>
    <w:r w:rsidRPr="00AB58A2">
      <w:rPr>
        <w:rFonts w:cs="Arial"/>
        <w:sz w:val="24"/>
      </w:rPr>
      <w:drawing>
        <wp:anchor distT="0" distB="0" distL="114300" distR="114300" simplePos="0" relativeHeight="251662336" behindDoc="0" locked="0" layoutInCell="1" allowOverlap="1" wp14:anchorId="4B6044E7" wp14:editId="2D857CB1">
          <wp:simplePos x="0" y="0"/>
          <wp:positionH relativeFrom="margin">
            <wp:align>right</wp:align>
          </wp:positionH>
          <wp:positionV relativeFrom="topMargin">
            <wp:posOffset>372110</wp:posOffset>
          </wp:positionV>
          <wp:extent cx="742950" cy="713740"/>
          <wp:effectExtent l="0" t="0" r="0" b="0"/>
          <wp:wrapThrough wrapText="bothSides">
            <wp:wrapPolygon edited="0">
              <wp:start x="8862" y="0"/>
              <wp:lineTo x="5538" y="1730"/>
              <wp:lineTo x="2769" y="5765"/>
              <wp:lineTo x="3323" y="9224"/>
              <wp:lineTo x="0" y="16142"/>
              <wp:lineTo x="0" y="20754"/>
              <wp:lineTo x="13846" y="20754"/>
              <wp:lineTo x="16615" y="20754"/>
              <wp:lineTo x="21046" y="20754"/>
              <wp:lineTo x="21046" y="17872"/>
              <wp:lineTo x="18277" y="9224"/>
              <wp:lineTo x="19385" y="6918"/>
              <wp:lineTo x="16615" y="2883"/>
              <wp:lineTo x="12738" y="0"/>
              <wp:lineTo x="8862" y="0"/>
            </wp:wrapPolygon>
          </wp:wrapThrough>
          <wp:docPr id="1349376464" name="Picture 1" descr="A yellow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76464" name="Picture 1" descr="A yellow and orange logo&#10;&#10;AI-generated content may be incorrect."/>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2950" cy="71374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77777777" w:rsidR="008723DE" w:rsidRPr="00866BDC" w:rsidRDefault="008723DE">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6211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E47023"/>
    <w:multiLevelType w:val="multilevel"/>
    <w:tmpl w:val="0E483D84"/>
    <w:name w:val="DNVGL Headings"/>
    <w:lvl w:ilvl="0">
      <w:start w:val="1"/>
      <w:numFmt w:val="decimal"/>
      <w:lvlText w:val="%1"/>
      <w:lvlJc w:val="left"/>
      <w:pPr>
        <w:tabs>
          <w:tab w:val="num" w:pos="454"/>
        </w:tabs>
        <w:ind w:left="454" w:hanging="454"/>
      </w:pPr>
      <w:rPr>
        <w:b/>
        <w:bCs/>
      </w:rPr>
    </w:lvl>
    <w:lvl w:ilvl="1">
      <w:start w:val="1"/>
      <w:numFmt w:val="decimal"/>
      <w:lvlText w:val="%1.%2"/>
      <w:lvlJc w:val="left"/>
      <w:pPr>
        <w:tabs>
          <w:tab w:val="num" w:pos="680"/>
        </w:tabs>
        <w:ind w:left="680" w:hanging="680"/>
      </w:pPr>
      <w:rPr>
        <w:b/>
        <w:bCs/>
      </w:rPr>
    </w:lvl>
    <w:lvl w:ilvl="2">
      <w:start w:val="1"/>
      <w:numFmt w:val="decimal"/>
      <w:lvlText w:val="%1.%2.%3"/>
      <w:lvlJc w:val="left"/>
      <w:pPr>
        <w:tabs>
          <w:tab w:val="num" w:pos="907"/>
        </w:tabs>
        <w:ind w:left="907" w:hanging="907"/>
      </w:pPr>
      <w:rPr>
        <w:b w:val="0"/>
        <w:bCs/>
      </w:rPr>
    </w:lvl>
    <w:lvl w:ilvl="3">
      <w:start w:val="1"/>
      <w:numFmt w:val="decimal"/>
      <w:lvlText w:val="%1.%2.%3.%4"/>
      <w:lvlJc w:val="left"/>
      <w:pPr>
        <w:tabs>
          <w:tab w:val="num" w:pos="1134"/>
        </w:tabs>
        <w:ind w:left="1134" w:hanging="1134"/>
      </w:pPr>
      <w:rPr>
        <w:b/>
        <w:bCs/>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15:restartNumberingAfterBreak="0">
    <w:nsid w:val="07D947FC"/>
    <w:multiLevelType w:val="multilevel"/>
    <w:tmpl w:val="ECFAF77C"/>
    <w:lvl w:ilvl="0">
      <w:start w:val="1"/>
      <w:numFmt w:val="bullet"/>
      <w:lvlText w:val=""/>
      <w:lvlJc w:val="left"/>
      <w:pPr>
        <w:tabs>
          <w:tab w:val="num" w:pos="454"/>
        </w:tabs>
        <w:ind w:left="454" w:hanging="454"/>
      </w:pPr>
      <w:rPr>
        <w:rFonts w:ascii="Symbol" w:hAnsi="Symbol" w:hint="default"/>
        <w:b/>
        <w:bCs/>
      </w:rPr>
    </w:lvl>
    <w:lvl w:ilvl="1">
      <w:start w:val="1"/>
      <w:numFmt w:val="decimal"/>
      <w:lvlText w:val="%1.%2"/>
      <w:lvlJc w:val="left"/>
      <w:pPr>
        <w:tabs>
          <w:tab w:val="num" w:pos="680"/>
        </w:tabs>
        <w:ind w:left="680" w:hanging="680"/>
      </w:pPr>
      <w:rPr>
        <w:b/>
        <w:bCs/>
      </w:rPr>
    </w:lvl>
    <w:lvl w:ilvl="2">
      <w:start w:val="1"/>
      <w:numFmt w:val="decimal"/>
      <w:lvlText w:val="%1.%2.%3"/>
      <w:lvlJc w:val="left"/>
      <w:pPr>
        <w:tabs>
          <w:tab w:val="num" w:pos="907"/>
        </w:tabs>
        <w:ind w:left="907" w:hanging="907"/>
      </w:pPr>
      <w:rPr>
        <w:b w:val="0"/>
        <w:bCs/>
      </w:rPr>
    </w:lvl>
    <w:lvl w:ilvl="3">
      <w:start w:val="1"/>
      <w:numFmt w:val="decimal"/>
      <w:lvlText w:val="%1.%2.%3.%4"/>
      <w:lvlJc w:val="left"/>
      <w:pPr>
        <w:tabs>
          <w:tab w:val="num" w:pos="1134"/>
        </w:tabs>
        <w:ind w:left="1134" w:hanging="1134"/>
      </w:pPr>
      <w:rPr>
        <w:b/>
        <w:bCs/>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9610C71"/>
    <w:multiLevelType w:val="multilevel"/>
    <w:tmpl w:val="6B787CFE"/>
    <w:styleLink w:val="ERMBulletList"/>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2934A04"/>
    <w:multiLevelType w:val="multilevel"/>
    <w:tmpl w:val="ECFAF77C"/>
    <w:lvl w:ilvl="0">
      <w:start w:val="1"/>
      <w:numFmt w:val="bullet"/>
      <w:lvlText w:val=""/>
      <w:lvlJc w:val="left"/>
      <w:pPr>
        <w:tabs>
          <w:tab w:val="num" w:pos="454"/>
        </w:tabs>
        <w:ind w:left="454" w:hanging="454"/>
      </w:pPr>
      <w:rPr>
        <w:rFonts w:ascii="Symbol" w:hAnsi="Symbol" w:hint="default"/>
        <w:b/>
        <w:bCs/>
      </w:rPr>
    </w:lvl>
    <w:lvl w:ilvl="1">
      <w:start w:val="1"/>
      <w:numFmt w:val="decimal"/>
      <w:lvlText w:val="%1.%2"/>
      <w:lvlJc w:val="left"/>
      <w:pPr>
        <w:tabs>
          <w:tab w:val="num" w:pos="680"/>
        </w:tabs>
        <w:ind w:left="680" w:hanging="680"/>
      </w:pPr>
      <w:rPr>
        <w:b/>
        <w:bCs/>
      </w:rPr>
    </w:lvl>
    <w:lvl w:ilvl="2">
      <w:start w:val="1"/>
      <w:numFmt w:val="decimal"/>
      <w:lvlText w:val="%1.%2.%3"/>
      <w:lvlJc w:val="left"/>
      <w:pPr>
        <w:tabs>
          <w:tab w:val="num" w:pos="907"/>
        </w:tabs>
        <w:ind w:left="907" w:hanging="907"/>
      </w:pPr>
      <w:rPr>
        <w:b w:val="0"/>
        <w:bCs/>
      </w:rPr>
    </w:lvl>
    <w:lvl w:ilvl="3">
      <w:start w:val="1"/>
      <w:numFmt w:val="decimal"/>
      <w:lvlText w:val="%1.%2.%3.%4"/>
      <w:lvlJc w:val="left"/>
      <w:pPr>
        <w:tabs>
          <w:tab w:val="num" w:pos="1134"/>
        </w:tabs>
        <w:ind w:left="1134" w:hanging="1134"/>
      </w:pPr>
      <w:rPr>
        <w:b/>
        <w:bCs/>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16F72B25"/>
    <w:multiLevelType w:val="hybridMultilevel"/>
    <w:tmpl w:val="F8C068AA"/>
    <w:lvl w:ilvl="0" w:tplc="BD8AF7E6">
      <w:start w:val="1"/>
      <w:numFmt w:val="bullet"/>
      <w:pStyle w:val="Bullets"/>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1AF85390"/>
    <w:multiLevelType w:val="multilevel"/>
    <w:tmpl w:val="27B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054B71"/>
    <w:multiLevelType w:val="multilevel"/>
    <w:tmpl w:val="CEE475AC"/>
    <w:styleLink w:val="ERMNum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EBC4D7D"/>
    <w:multiLevelType w:val="multilevel"/>
    <w:tmpl w:val="149E38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0B4853"/>
    <w:multiLevelType w:val="multilevel"/>
    <w:tmpl w:val="B4AA6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6ED79DB"/>
    <w:multiLevelType w:val="multilevel"/>
    <w:tmpl w:val="21E26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D554B3B"/>
    <w:multiLevelType w:val="multilevel"/>
    <w:tmpl w:val="AF20D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F233AB"/>
    <w:multiLevelType w:val="multilevel"/>
    <w:tmpl w:val="E698DCF4"/>
    <w:styleLink w:val="ERMBulletList11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582C4C"/>
    <w:multiLevelType w:val="hybridMultilevel"/>
    <w:tmpl w:val="4A1226DE"/>
    <w:styleLink w:val="ERMNumLIst"/>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F45449"/>
    <w:multiLevelType w:val="hybridMultilevel"/>
    <w:tmpl w:val="5B426B8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7" w15:restartNumberingAfterBreak="0">
    <w:nsid w:val="4C38434A"/>
    <w:multiLevelType w:val="hybridMultilevel"/>
    <w:tmpl w:val="63E2359A"/>
    <w:styleLink w:val="ERMBulletList11"/>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C3B31AD"/>
    <w:multiLevelType w:val="multilevel"/>
    <w:tmpl w:val="0D306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5F67EFF"/>
    <w:multiLevelType w:val="multilevel"/>
    <w:tmpl w:val="981C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31" w15:restartNumberingAfterBreak="0">
    <w:nsid w:val="62E944A9"/>
    <w:multiLevelType w:val="multilevel"/>
    <w:tmpl w:val="AB0EA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2ED6BAB"/>
    <w:multiLevelType w:val="multilevel"/>
    <w:tmpl w:val="8DE65DA0"/>
    <w:styleLink w:val="ERMBullet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839345585">
    <w:abstractNumId w:val="9"/>
  </w:num>
  <w:num w:numId="2" w16cid:durableId="51538695">
    <w:abstractNumId w:val="8"/>
  </w:num>
  <w:num w:numId="3" w16cid:durableId="1609435628">
    <w:abstractNumId w:val="21"/>
  </w:num>
  <w:num w:numId="4" w16cid:durableId="669602740">
    <w:abstractNumId w:val="7"/>
  </w:num>
  <w:num w:numId="5" w16cid:durableId="1771849198">
    <w:abstractNumId w:val="6"/>
  </w:num>
  <w:num w:numId="6" w16cid:durableId="977607668">
    <w:abstractNumId w:val="5"/>
  </w:num>
  <w:num w:numId="7" w16cid:durableId="519784117">
    <w:abstractNumId w:val="4"/>
  </w:num>
  <w:num w:numId="8" w16cid:durableId="1002465032">
    <w:abstractNumId w:val="3"/>
  </w:num>
  <w:num w:numId="9" w16cid:durableId="1558588146">
    <w:abstractNumId w:val="2"/>
  </w:num>
  <w:num w:numId="10" w16cid:durableId="944456413">
    <w:abstractNumId w:val="1"/>
  </w:num>
  <w:num w:numId="11" w16cid:durableId="150829337">
    <w:abstractNumId w:val="0"/>
  </w:num>
  <w:num w:numId="12" w16cid:durableId="671688894">
    <w:abstractNumId w:val="30"/>
  </w:num>
  <w:num w:numId="13" w16cid:durableId="1685742184">
    <w:abstractNumId w:val="12"/>
  </w:num>
  <w:num w:numId="14" w16cid:durableId="541984194">
    <w:abstractNumId w:val="14"/>
  </w:num>
  <w:num w:numId="15" w16cid:durableId="1850287128">
    <w:abstractNumId w:val="33"/>
  </w:num>
  <w:num w:numId="16" w16cid:durableId="1564946196">
    <w:abstractNumId w:val="18"/>
  </w:num>
  <w:num w:numId="17" w16cid:durableId="411201751">
    <w:abstractNumId w:val="32"/>
  </w:num>
  <w:num w:numId="18" w16cid:durableId="500199565">
    <w:abstractNumId w:val="24"/>
  </w:num>
  <w:num w:numId="19" w16cid:durableId="990525778">
    <w:abstractNumId w:val="25"/>
  </w:num>
  <w:num w:numId="20" w16cid:durableId="1994946268">
    <w:abstractNumId w:val="13"/>
  </w:num>
  <w:num w:numId="21" w16cid:durableId="341664805">
    <w:abstractNumId w:val="27"/>
  </w:num>
  <w:num w:numId="22" w16cid:durableId="1722822291">
    <w:abstractNumId w:val="28"/>
  </w:num>
  <w:num w:numId="23" w16cid:durableId="1125076163">
    <w:abstractNumId w:val="16"/>
  </w:num>
  <w:num w:numId="24" w16cid:durableId="1571502325">
    <w:abstractNumId w:val="26"/>
  </w:num>
  <w:num w:numId="25" w16cid:durableId="792334519">
    <w:abstractNumId w:val="15"/>
  </w:num>
  <w:num w:numId="26" w16cid:durableId="494684421">
    <w:abstractNumId w:val="31"/>
  </w:num>
  <w:num w:numId="27" w16cid:durableId="1881480558">
    <w:abstractNumId w:val="20"/>
  </w:num>
  <w:num w:numId="28" w16cid:durableId="1633631515">
    <w:abstractNumId w:val="29"/>
  </w:num>
  <w:num w:numId="29" w16cid:durableId="2126849483">
    <w:abstractNumId w:val="22"/>
  </w:num>
  <w:num w:numId="30" w16cid:durableId="1478187337">
    <w:abstractNumId w:val="11"/>
  </w:num>
  <w:num w:numId="31" w16cid:durableId="1082946751">
    <w:abstractNumId w:val="17"/>
  </w:num>
  <w:num w:numId="32" w16cid:durableId="361711349">
    <w:abstractNumId w:val="19"/>
  </w:num>
  <w:num w:numId="33" w16cid:durableId="887256827">
    <w:abstractNumId w:val="2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53ae7bdc5c384f4db3b436257f49c4f7"/>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0743"/>
    <w:rsid w:val="00000B26"/>
    <w:rsid w:val="00000F29"/>
    <w:rsid w:val="00001D26"/>
    <w:rsid w:val="00002932"/>
    <w:rsid w:val="0000293B"/>
    <w:rsid w:val="0000364B"/>
    <w:rsid w:val="000037D5"/>
    <w:rsid w:val="00003FE9"/>
    <w:rsid w:val="000046BC"/>
    <w:rsid w:val="00004CDE"/>
    <w:rsid w:val="00004D89"/>
    <w:rsid w:val="00004EFC"/>
    <w:rsid w:val="0000692F"/>
    <w:rsid w:val="00006CA6"/>
    <w:rsid w:val="00006CF0"/>
    <w:rsid w:val="00007269"/>
    <w:rsid w:val="000072A7"/>
    <w:rsid w:val="00007409"/>
    <w:rsid w:val="00007B02"/>
    <w:rsid w:val="0001044D"/>
    <w:rsid w:val="0001048E"/>
    <w:rsid w:val="000109C3"/>
    <w:rsid w:val="00010BA0"/>
    <w:rsid w:val="00011543"/>
    <w:rsid w:val="00011680"/>
    <w:rsid w:val="0001175B"/>
    <w:rsid w:val="00011945"/>
    <w:rsid w:val="00011C1E"/>
    <w:rsid w:val="0001226C"/>
    <w:rsid w:val="0001250D"/>
    <w:rsid w:val="0001322A"/>
    <w:rsid w:val="000132C9"/>
    <w:rsid w:val="00013C22"/>
    <w:rsid w:val="00013DA6"/>
    <w:rsid w:val="00013DD2"/>
    <w:rsid w:val="00013EA4"/>
    <w:rsid w:val="00014A69"/>
    <w:rsid w:val="000156A9"/>
    <w:rsid w:val="00015848"/>
    <w:rsid w:val="000159C2"/>
    <w:rsid w:val="00015B6E"/>
    <w:rsid w:val="00015E21"/>
    <w:rsid w:val="00016B25"/>
    <w:rsid w:val="00016CCF"/>
    <w:rsid w:val="000173A5"/>
    <w:rsid w:val="000173D0"/>
    <w:rsid w:val="00017DBB"/>
    <w:rsid w:val="00020052"/>
    <w:rsid w:val="00020205"/>
    <w:rsid w:val="00020248"/>
    <w:rsid w:val="000208E7"/>
    <w:rsid w:val="00020C13"/>
    <w:rsid w:val="00020CA2"/>
    <w:rsid w:val="00020D7D"/>
    <w:rsid w:val="00021A4A"/>
    <w:rsid w:val="0002242E"/>
    <w:rsid w:val="000224D7"/>
    <w:rsid w:val="00022534"/>
    <w:rsid w:val="00022CAF"/>
    <w:rsid w:val="0002358C"/>
    <w:rsid w:val="000236AE"/>
    <w:rsid w:val="00024186"/>
    <w:rsid w:val="00024A26"/>
    <w:rsid w:val="00025AFA"/>
    <w:rsid w:val="00025F54"/>
    <w:rsid w:val="00026274"/>
    <w:rsid w:val="00026331"/>
    <w:rsid w:val="0002680E"/>
    <w:rsid w:val="00026A48"/>
    <w:rsid w:val="000271AC"/>
    <w:rsid w:val="000277C9"/>
    <w:rsid w:val="00027B41"/>
    <w:rsid w:val="00027B9B"/>
    <w:rsid w:val="00027D3E"/>
    <w:rsid w:val="00027DEA"/>
    <w:rsid w:val="000303C3"/>
    <w:rsid w:val="00030D0E"/>
    <w:rsid w:val="00031079"/>
    <w:rsid w:val="00031439"/>
    <w:rsid w:val="000318B6"/>
    <w:rsid w:val="000322DB"/>
    <w:rsid w:val="000324AA"/>
    <w:rsid w:val="0003256C"/>
    <w:rsid w:val="0003257A"/>
    <w:rsid w:val="00032669"/>
    <w:rsid w:val="0003278F"/>
    <w:rsid w:val="00032853"/>
    <w:rsid w:val="00032BCD"/>
    <w:rsid w:val="0003314B"/>
    <w:rsid w:val="0003319A"/>
    <w:rsid w:val="00033307"/>
    <w:rsid w:val="00033A66"/>
    <w:rsid w:val="000345ED"/>
    <w:rsid w:val="00034E55"/>
    <w:rsid w:val="00034EE5"/>
    <w:rsid w:val="0003518C"/>
    <w:rsid w:val="000352B4"/>
    <w:rsid w:val="0003560A"/>
    <w:rsid w:val="000360AB"/>
    <w:rsid w:val="00036B06"/>
    <w:rsid w:val="00036E03"/>
    <w:rsid w:val="0003723E"/>
    <w:rsid w:val="00037309"/>
    <w:rsid w:val="00037350"/>
    <w:rsid w:val="0003777B"/>
    <w:rsid w:val="00037850"/>
    <w:rsid w:val="000378D2"/>
    <w:rsid w:val="00037946"/>
    <w:rsid w:val="00037ECC"/>
    <w:rsid w:val="000414A4"/>
    <w:rsid w:val="00041883"/>
    <w:rsid w:val="000418B9"/>
    <w:rsid w:val="00041B29"/>
    <w:rsid w:val="00041B35"/>
    <w:rsid w:val="00041D02"/>
    <w:rsid w:val="00042000"/>
    <w:rsid w:val="000422FE"/>
    <w:rsid w:val="0004263B"/>
    <w:rsid w:val="0004266B"/>
    <w:rsid w:val="00042B50"/>
    <w:rsid w:val="00042EF8"/>
    <w:rsid w:val="00043218"/>
    <w:rsid w:val="000432E2"/>
    <w:rsid w:val="00043A27"/>
    <w:rsid w:val="00043AF6"/>
    <w:rsid w:val="000444A4"/>
    <w:rsid w:val="00044581"/>
    <w:rsid w:val="00044DBE"/>
    <w:rsid w:val="00044E71"/>
    <w:rsid w:val="000450E3"/>
    <w:rsid w:val="000451A1"/>
    <w:rsid w:val="00045323"/>
    <w:rsid w:val="000465D3"/>
    <w:rsid w:val="00046E20"/>
    <w:rsid w:val="00047531"/>
    <w:rsid w:val="00047941"/>
    <w:rsid w:val="00047C36"/>
    <w:rsid w:val="000503CF"/>
    <w:rsid w:val="000510A0"/>
    <w:rsid w:val="000510FE"/>
    <w:rsid w:val="00051209"/>
    <w:rsid w:val="00051B14"/>
    <w:rsid w:val="0005248E"/>
    <w:rsid w:val="00052A42"/>
    <w:rsid w:val="00052E12"/>
    <w:rsid w:val="00053028"/>
    <w:rsid w:val="00053A7D"/>
    <w:rsid w:val="00053E13"/>
    <w:rsid w:val="000543A7"/>
    <w:rsid w:val="000545D2"/>
    <w:rsid w:val="00054BD6"/>
    <w:rsid w:val="00054C50"/>
    <w:rsid w:val="00054C61"/>
    <w:rsid w:val="00054CA6"/>
    <w:rsid w:val="00055446"/>
    <w:rsid w:val="00055A40"/>
    <w:rsid w:val="0005692E"/>
    <w:rsid w:val="00056969"/>
    <w:rsid w:val="000569BF"/>
    <w:rsid w:val="00056F4C"/>
    <w:rsid w:val="00057260"/>
    <w:rsid w:val="000572E2"/>
    <w:rsid w:val="000578B7"/>
    <w:rsid w:val="00057D95"/>
    <w:rsid w:val="00060A5B"/>
    <w:rsid w:val="00060B66"/>
    <w:rsid w:val="000614B6"/>
    <w:rsid w:val="00061D65"/>
    <w:rsid w:val="00061E03"/>
    <w:rsid w:val="0006207C"/>
    <w:rsid w:val="0006226B"/>
    <w:rsid w:val="00062373"/>
    <w:rsid w:val="000628E5"/>
    <w:rsid w:val="0006303D"/>
    <w:rsid w:val="00063114"/>
    <w:rsid w:val="00063228"/>
    <w:rsid w:val="00063657"/>
    <w:rsid w:val="0006378F"/>
    <w:rsid w:val="000643B8"/>
    <w:rsid w:val="00064B2E"/>
    <w:rsid w:val="00064C64"/>
    <w:rsid w:val="00064CBD"/>
    <w:rsid w:val="00065082"/>
    <w:rsid w:val="00065687"/>
    <w:rsid w:val="00065C81"/>
    <w:rsid w:val="0006675D"/>
    <w:rsid w:val="00066914"/>
    <w:rsid w:val="00066F34"/>
    <w:rsid w:val="000673BD"/>
    <w:rsid w:val="00067509"/>
    <w:rsid w:val="000675D6"/>
    <w:rsid w:val="00067C3A"/>
    <w:rsid w:val="000710DC"/>
    <w:rsid w:val="0007123A"/>
    <w:rsid w:val="000716C7"/>
    <w:rsid w:val="00071812"/>
    <w:rsid w:val="00072435"/>
    <w:rsid w:val="00072DBB"/>
    <w:rsid w:val="00072EB0"/>
    <w:rsid w:val="00073124"/>
    <w:rsid w:val="000736B0"/>
    <w:rsid w:val="00074808"/>
    <w:rsid w:val="00075174"/>
    <w:rsid w:val="00075D7C"/>
    <w:rsid w:val="00076337"/>
    <w:rsid w:val="00076A40"/>
    <w:rsid w:val="00077304"/>
    <w:rsid w:val="00077374"/>
    <w:rsid w:val="00077B79"/>
    <w:rsid w:val="00077C9C"/>
    <w:rsid w:val="00077E2C"/>
    <w:rsid w:val="000800D8"/>
    <w:rsid w:val="000806C4"/>
    <w:rsid w:val="00080BEF"/>
    <w:rsid w:val="00080C73"/>
    <w:rsid w:val="00080D0F"/>
    <w:rsid w:val="00081056"/>
    <w:rsid w:val="000810DF"/>
    <w:rsid w:val="00081610"/>
    <w:rsid w:val="00081B07"/>
    <w:rsid w:val="00081C03"/>
    <w:rsid w:val="000820F3"/>
    <w:rsid w:val="00082139"/>
    <w:rsid w:val="0008258A"/>
    <w:rsid w:val="00083C1F"/>
    <w:rsid w:val="0008418C"/>
    <w:rsid w:val="00084589"/>
    <w:rsid w:val="0008480F"/>
    <w:rsid w:val="0008519A"/>
    <w:rsid w:val="00085D2F"/>
    <w:rsid w:val="00085EF8"/>
    <w:rsid w:val="00085F53"/>
    <w:rsid w:val="000862E4"/>
    <w:rsid w:val="00086542"/>
    <w:rsid w:val="00086D06"/>
    <w:rsid w:val="000877CF"/>
    <w:rsid w:val="00090463"/>
    <w:rsid w:val="00090996"/>
    <w:rsid w:val="00090F6B"/>
    <w:rsid w:val="00091B9B"/>
    <w:rsid w:val="00091DC6"/>
    <w:rsid w:val="00091E05"/>
    <w:rsid w:val="000922AA"/>
    <w:rsid w:val="000924A7"/>
    <w:rsid w:val="0009279C"/>
    <w:rsid w:val="00092CC6"/>
    <w:rsid w:val="00092EF1"/>
    <w:rsid w:val="0009317E"/>
    <w:rsid w:val="000932FD"/>
    <w:rsid w:val="000933C1"/>
    <w:rsid w:val="00093B99"/>
    <w:rsid w:val="00093FC8"/>
    <w:rsid w:val="000940B1"/>
    <w:rsid w:val="0009418A"/>
    <w:rsid w:val="0009436D"/>
    <w:rsid w:val="0009480C"/>
    <w:rsid w:val="0009488B"/>
    <w:rsid w:val="00094DD3"/>
    <w:rsid w:val="00095B8D"/>
    <w:rsid w:val="000967F0"/>
    <w:rsid w:val="000970B1"/>
    <w:rsid w:val="000973E8"/>
    <w:rsid w:val="0009765B"/>
    <w:rsid w:val="000976FD"/>
    <w:rsid w:val="00097C98"/>
    <w:rsid w:val="00097D6D"/>
    <w:rsid w:val="000A0426"/>
    <w:rsid w:val="000A0646"/>
    <w:rsid w:val="000A07CE"/>
    <w:rsid w:val="000A0A65"/>
    <w:rsid w:val="000A0A93"/>
    <w:rsid w:val="000A0BF0"/>
    <w:rsid w:val="000A0F61"/>
    <w:rsid w:val="000A0FC6"/>
    <w:rsid w:val="000A1207"/>
    <w:rsid w:val="000A16AE"/>
    <w:rsid w:val="000A1935"/>
    <w:rsid w:val="000A24E0"/>
    <w:rsid w:val="000A2549"/>
    <w:rsid w:val="000A2B31"/>
    <w:rsid w:val="000A2E7B"/>
    <w:rsid w:val="000A2FBF"/>
    <w:rsid w:val="000A3C36"/>
    <w:rsid w:val="000A3EF7"/>
    <w:rsid w:val="000A4073"/>
    <w:rsid w:val="000A41CE"/>
    <w:rsid w:val="000A423E"/>
    <w:rsid w:val="000A43AC"/>
    <w:rsid w:val="000A48A2"/>
    <w:rsid w:val="000A5097"/>
    <w:rsid w:val="000A52A7"/>
    <w:rsid w:val="000A53A2"/>
    <w:rsid w:val="000A54FB"/>
    <w:rsid w:val="000A5799"/>
    <w:rsid w:val="000A58C2"/>
    <w:rsid w:val="000A5B97"/>
    <w:rsid w:val="000A6381"/>
    <w:rsid w:val="000A6651"/>
    <w:rsid w:val="000A6828"/>
    <w:rsid w:val="000A68FA"/>
    <w:rsid w:val="000A6957"/>
    <w:rsid w:val="000A71CF"/>
    <w:rsid w:val="000A774B"/>
    <w:rsid w:val="000A7DF2"/>
    <w:rsid w:val="000B03CC"/>
    <w:rsid w:val="000B079B"/>
    <w:rsid w:val="000B08E7"/>
    <w:rsid w:val="000B164C"/>
    <w:rsid w:val="000B1CF0"/>
    <w:rsid w:val="000B1E4C"/>
    <w:rsid w:val="000B27A3"/>
    <w:rsid w:val="000B28C2"/>
    <w:rsid w:val="000B2D24"/>
    <w:rsid w:val="000B3176"/>
    <w:rsid w:val="000B39BD"/>
    <w:rsid w:val="000B3BB2"/>
    <w:rsid w:val="000B46EF"/>
    <w:rsid w:val="000B4816"/>
    <w:rsid w:val="000B5010"/>
    <w:rsid w:val="000B586B"/>
    <w:rsid w:val="000B5B22"/>
    <w:rsid w:val="000B5B35"/>
    <w:rsid w:val="000B6026"/>
    <w:rsid w:val="000B61AA"/>
    <w:rsid w:val="000B659A"/>
    <w:rsid w:val="000B695A"/>
    <w:rsid w:val="000B6BEC"/>
    <w:rsid w:val="000B7AF2"/>
    <w:rsid w:val="000C05A7"/>
    <w:rsid w:val="000C0966"/>
    <w:rsid w:val="000C0FB3"/>
    <w:rsid w:val="000C1759"/>
    <w:rsid w:val="000C1B31"/>
    <w:rsid w:val="000C2459"/>
    <w:rsid w:val="000C2C3B"/>
    <w:rsid w:val="000C2EC6"/>
    <w:rsid w:val="000C30D7"/>
    <w:rsid w:val="000C3360"/>
    <w:rsid w:val="000C34B6"/>
    <w:rsid w:val="000C3750"/>
    <w:rsid w:val="000C38D2"/>
    <w:rsid w:val="000C3A87"/>
    <w:rsid w:val="000C3D2F"/>
    <w:rsid w:val="000C40FD"/>
    <w:rsid w:val="000C41DF"/>
    <w:rsid w:val="000C4217"/>
    <w:rsid w:val="000C4591"/>
    <w:rsid w:val="000C47D7"/>
    <w:rsid w:val="000C4BA8"/>
    <w:rsid w:val="000C4C76"/>
    <w:rsid w:val="000C5008"/>
    <w:rsid w:val="000C54FC"/>
    <w:rsid w:val="000C57BD"/>
    <w:rsid w:val="000C5954"/>
    <w:rsid w:val="000C5BF7"/>
    <w:rsid w:val="000C5CA6"/>
    <w:rsid w:val="000C5F87"/>
    <w:rsid w:val="000C63C4"/>
    <w:rsid w:val="000C6934"/>
    <w:rsid w:val="000C7365"/>
    <w:rsid w:val="000C77DB"/>
    <w:rsid w:val="000D0275"/>
    <w:rsid w:val="000D03B0"/>
    <w:rsid w:val="000D0527"/>
    <w:rsid w:val="000D0A78"/>
    <w:rsid w:val="000D0CC4"/>
    <w:rsid w:val="000D1024"/>
    <w:rsid w:val="000D1207"/>
    <w:rsid w:val="000D23C0"/>
    <w:rsid w:val="000D3445"/>
    <w:rsid w:val="000D3574"/>
    <w:rsid w:val="000D3D34"/>
    <w:rsid w:val="000D40CC"/>
    <w:rsid w:val="000D4338"/>
    <w:rsid w:val="000D4C29"/>
    <w:rsid w:val="000D50A9"/>
    <w:rsid w:val="000D5367"/>
    <w:rsid w:val="000D5426"/>
    <w:rsid w:val="000D54C4"/>
    <w:rsid w:val="000D5A7F"/>
    <w:rsid w:val="000D5CDF"/>
    <w:rsid w:val="000D5F09"/>
    <w:rsid w:val="000D5F50"/>
    <w:rsid w:val="000D6384"/>
    <w:rsid w:val="000D6AFC"/>
    <w:rsid w:val="000D7BDC"/>
    <w:rsid w:val="000D7C9B"/>
    <w:rsid w:val="000D7CDF"/>
    <w:rsid w:val="000D7DC5"/>
    <w:rsid w:val="000D7F3B"/>
    <w:rsid w:val="000D7FCA"/>
    <w:rsid w:val="000E006F"/>
    <w:rsid w:val="000E0079"/>
    <w:rsid w:val="000E05F2"/>
    <w:rsid w:val="000E0793"/>
    <w:rsid w:val="000E089C"/>
    <w:rsid w:val="000E0B17"/>
    <w:rsid w:val="000E0D65"/>
    <w:rsid w:val="000E0FAB"/>
    <w:rsid w:val="000E0FEF"/>
    <w:rsid w:val="000E110E"/>
    <w:rsid w:val="000E128A"/>
    <w:rsid w:val="000E183D"/>
    <w:rsid w:val="000E1988"/>
    <w:rsid w:val="000E1B50"/>
    <w:rsid w:val="000E2051"/>
    <w:rsid w:val="000E21B6"/>
    <w:rsid w:val="000E2238"/>
    <w:rsid w:val="000E235E"/>
    <w:rsid w:val="000E2836"/>
    <w:rsid w:val="000E29FF"/>
    <w:rsid w:val="000E31D2"/>
    <w:rsid w:val="000E37E8"/>
    <w:rsid w:val="000E3D58"/>
    <w:rsid w:val="000E4648"/>
    <w:rsid w:val="000E4989"/>
    <w:rsid w:val="000E4E01"/>
    <w:rsid w:val="000E5ABB"/>
    <w:rsid w:val="000E5CBC"/>
    <w:rsid w:val="000E5E5B"/>
    <w:rsid w:val="000E61E9"/>
    <w:rsid w:val="000E6522"/>
    <w:rsid w:val="000E65FF"/>
    <w:rsid w:val="000E726C"/>
    <w:rsid w:val="000E7307"/>
    <w:rsid w:val="000F0231"/>
    <w:rsid w:val="000F0C0C"/>
    <w:rsid w:val="000F113C"/>
    <w:rsid w:val="000F1439"/>
    <w:rsid w:val="000F16D1"/>
    <w:rsid w:val="000F1ACC"/>
    <w:rsid w:val="000F1DF0"/>
    <w:rsid w:val="000F20BA"/>
    <w:rsid w:val="000F27C2"/>
    <w:rsid w:val="000F3695"/>
    <w:rsid w:val="000F43F0"/>
    <w:rsid w:val="000F4B64"/>
    <w:rsid w:val="000F4C55"/>
    <w:rsid w:val="000F5521"/>
    <w:rsid w:val="000F5571"/>
    <w:rsid w:val="000F5747"/>
    <w:rsid w:val="000F5770"/>
    <w:rsid w:val="000F5CFB"/>
    <w:rsid w:val="000F5EF8"/>
    <w:rsid w:val="000F6365"/>
    <w:rsid w:val="000F6E74"/>
    <w:rsid w:val="000F6E81"/>
    <w:rsid w:val="000F76CC"/>
    <w:rsid w:val="000F7C10"/>
    <w:rsid w:val="000F7E9B"/>
    <w:rsid w:val="00100262"/>
    <w:rsid w:val="001003C9"/>
    <w:rsid w:val="00100476"/>
    <w:rsid w:val="001006EC"/>
    <w:rsid w:val="001007ED"/>
    <w:rsid w:val="00100AB9"/>
    <w:rsid w:val="00100C86"/>
    <w:rsid w:val="00100F43"/>
    <w:rsid w:val="0010178F"/>
    <w:rsid w:val="00102384"/>
    <w:rsid w:val="001025F8"/>
    <w:rsid w:val="00103357"/>
    <w:rsid w:val="00103674"/>
    <w:rsid w:val="00103C66"/>
    <w:rsid w:val="00104334"/>
    <w:rsid w:val="00104D96"/>
    <w:rsid w:val="0010562A"/>
    <w:rsid w:val="00105741"/>
    <w:rsid w:val="001059B1"/>
    <w:rsid w:val="00105C2F"/>
    <w:rsid w:val="001063B0"/>
    <w:rsid w:val="001064B2"/>
    <w:rsid w:val="001065F2"/>
    <w:rsid w:val="0010690F"/>
    <w:rsid w:val="00106A46"/>
    <w:rsid w:val="00107133"/>
    <w:rsid w:val="00107138"/>
    <w:rsid w:val="001073CE"/>
    <w:rsid w:val="00107703"/>
    <w:rsid w:val="00107860"/>
    <w:rsid w:val="00107CA3"/>
    <w:rsid w:val="00107D31"/>
    <w:rsid w:val="001100B8"/>
    <w:rsid w:val="001109F9"/>
    <w:rsid w:val="00111047"/>
    <w:rsid w:val="00111050"/>
    <w:rsid w:val="00111210"/>
    <w:rsid w:val="001112BF"/>
    <w:rsid w:val="0011168C"/>
    <w:rsid w:val="001122BF"/>
    <w:rsid w:val="0011279F"/>
    <w:rsid w:val="00112AF6"/>
    <w:rsid w:val="00112C0E"/>
    <w:rsid w:val="00112ED2"/>
    <w:rsid w:val="0011315F"/>
    <w:rsid w:val="00113AD7"/>
    <w:rsid w:val="00113D55"/>
    <w:rsid w:val="0011438C"/>
    <w:rsid w:val="00114851"/>
    <w:rsid w:val="00114A1B"/>
    <w:rsid w:val="0011503C"/>
    <w:rsid w:val="0011533B"/>
    <w:rsid w:val="00115629"/>
    <w:rsid w:val="0011668E"/>
    <w:rsid w:val="001166A2"/>
    <w:rsid w:val="00116B42"/>
    <w:rsid w:val="00117188"/>
    <w:rsid w:val="0011760C"/>
    <w:rsid w:val="00117702"/>
    <w:rsid w:val="001179CE"/>
    <w:rsid w:val="00117F23"/>
    <w:rsid w:val="001211AA"/>
    <w:rsid w:val="001213AB"/>
    <w:rsid w:val="001219F8"/>
    <w:rsid w:val="00121CA2"/>
    <w:rsid w:val="00122067"/>
    <w:rsid w:val="001222FD"/>
    <w:rsid w:val="00122EB7"/>
    <w:rsid w:val="001235AD"/>
    <w:rsid w:val="00124425"/>
    <w:rsid w:val="001244AA"/>
    <w:rsid w:val="00124EDA"/>
    <w:rsid w:val="001251E7"/>
    <w:rsid w:val="001255BD"/>
    <w:rsid w:val="001255CD"/>
    <w:rsid w:val="00125618"/>
    <w:rsid w:val="001259B0"/>
    <w:rsid w:val="00125A26"/>
    <w:rsid w:val="001262D8"/>
    <w:rsid w:val="00126795"/>
    <w:rsid w:val="00126B80"/>
    <w:rsid w:val="00126C51"/>
    <w:rsid w:val="00126FF8"/>
    <w:rsid w:val="0012748D"/>
    <w:rsid w:val="00130166"/>
    <w:rsid w:val="00130B32"/>
    <w:rsid w:val="001310A7"/>
    <w:rsid w:val="001310D0"/>
    <w:rsid w:val="001311F1"/>
    <w:rsid w:val="00132129"/>
    <w:rsid w:val="00132346"/>
    <w:rsid w:val="001329D4"/>
    <w:rsid w:val="00132A31"/>
    <w:rsid w:val="00132F5B"/>
    <w:rsid w:val="00133239"/>
    <w:rsid w:val="001334F0"/>
    <w:rsid w:val="00133573"/>
    <w:rsid w:val="00133A61"/>
    <w:rsid w:val="00133C64"/>
    <w:rsid w:val="00134408"/>
    <w:rsid w:val="00134ACE"/>
    <w:rsid w:val="00134CCB"/>
    <w:rsid w:val="00135317"/>
    <w:rsid w:val="001354FE"/>
    <w:rsid w:val="001355A7"/>
    <w:rsid w:val="001355C8"/>
    <w:rsid w:val="0013590D"/>
    <w:rsid w:val="00135F08"/>
    <w:rsid w:val="0013623C"/>
    <w:rsid w:val="0013629F"/>
    <w:rsid w:val="00136E94"/>
    <w:rsid w:val="001371D0"/>
    <w:rsid w:val="001378AC"/>
    <w:rsid w:val="00137B35"/>
    <w:rsid w:val="00137E27"/>
    <w:rsid w:val="00137F99"/>
    <w:rsid w:val="00140752"/>
    <w:rsid w:val="00140CFC"/>
    <w:rsid w:val="00140D06"/>
    <w:rsid w:val="00140E73"/>
    <w:rsid w:val="0014105B"/>
    <w:rsid w:val="001410E9"/>
    <w:rsid w:val="001415A4"/>
    <w:rsid w:val="00142097"/>
    <w:rsid w:val="0014212F"/>
    <w:rsid w:val="00142320"/>
    <w:rsid w:val="00142815"/>
    <w:rsid w:val="00143161"/>
    <w:rsid w:val="00143579"/>
    <w:rsid w:val="001436C4"/>
    <w:rsid w:val="001439F6"/>
    <w:rsid w:val="00143A9A"/>
    <w:rsid w:val="00144305"/>
    <w:rsid w:val="00144D97"/>
    <w:rsid w:val="001452CE"/>
    <w:rsid w:val="00145441"/>
    <w:rsid w:val="00147711"/>
    <w:rsid w:val="001479FB"/>
    <w:rsid w:val="00147CD9"/>
    <w:rsid w:val="00147CE1"/>
    <w:rsid w:val="00147E39"/>
    <w:rsid w:val="00150138"/>
    <w:rsid w:val="0015065B"/>
    <w:rsid w:val="00150880"/>
    <w:rsid w:val="0015171E"/>
    <w:rsid w:val="00151B1C"/>
    <w:rsid w:val="0015209B"/>
    <w:rsid w:val="00152217"/>
    <w:rsid w:val="001528BA"/>
    <w:rsid w:val="00152955"/>
    <w:rsid w:val="0015316D"/>
    <w:rsid w:val="00153184"/>
    <w:rsid w:val="001535F7"/>
    <w:rsid w:val="00153A08"/>
    <w:rsid w:val="00153F78"/>
    <w:rsid w:val="00154234"/>
    <w:rsid w:val="0015434B"/>
    <w:rsid w:val="001548F1"/>
    <w:rsid w:val="00154CA5"/>
    <w:rsid w:val="00155C3A"/>
    <w:rsid w:val="00155C74"/>
    <w:rsid w:val="001562A3"/>
    <w:rsid w:val="001562F5"/>
    <w:rsid w:val="001571D9"/>
    <w:rsid w:val="00160CF1"/>
    <w:rsid w:val="0016153C"/>
    <w:rsid w:val="00161B78"/>
    <w:rsid w:val="00161BC1"/>
    <w:rsid w:val="00161BE2"/>
    <w:rsid w:val="00161C6C"/>
    <w:rsid w:val="00161EE0"/>
    <w:rsid w:val="001621E5"/>
    <w:rsid w:val="00162363"/>
    <w:rsid w:val="001624B2"/>
    <w:rsid w:val="001630C7"/>
    <w:rsid w:val="00163A24"/>
    <w:rsid w:val="00163BCE"/>
    <w:rsid w:val="00164A8F"/>
    <w:rsid w:val="001652AF"/>
    <w:rsid w:val="001654F7"/>
    <w:rsid w:val="00165595"/>
    <w:rsid w:val="001657EF"/>
    <w:rsid w:val="00165E48"/>
    <w:rsid w:val="001671B8"/>
    <w:rsid w:val="0017030A"/>
    <w:rsid w:val="00170515"/>
    <w:rsid w:val="00170945"/>
    <w:rsid w:val="00170AA5"/>
    <w:rsid w:val="00170F04"/>
    <w:rsid w:val="0017166F"/>
    <w:rsid w:val="001717BB"/>
    <w:rsid w:val="00172193"/>
    <w:rsid w:val="00172A5D"/>
    <w:rsid w:val="00173040"/>
    <w:rsid w:val="0017342E"/>
    <w:rsid w:val="00173510"/>
    <w:rsid w:val="00173564"/>
    <w:rsid w:val="00173A86"/>
    <w:rsid w:val="001740A0"/>
    <w:rsid w:val="001747A0"/>
    <w:rsid w:val="001749B1"/>
    <w:rsid w:val="00175042"/>
    <w:rsid w:val="00175238"/>
    <w:rsid w:val="00175AEC"/>
    <w:rsid w:val="00175F92"/>
    <w:rsid w:val="00176422"/>
    <w:rsid w:val="0017693F"/>
    <w:rsid w:val="0017738E"/>
    <w:rsid w:val="00177EAF"/>
    <w:rsid w:val="001803A0"/>
    <w:rsid w:val="00180A7F"/>
    <w:rsid w:val="00181817"/>
    <w:rsid w:val="00181B2B"/>
    <w:rsid w:val="00181C62"/>
    <w:rsid w:val="00181E0E"/>
    <w:rsid w:val="00182201"/>
    <w:rsid w:val="0018287B"/>
    <w:rsid w:val="00182E94"/>
    <w:rsid w:val="00182F1A"/>
    <w:rsid w:val="0018334E"/>
    <w:rsid w:val="00183625"/>
    <w:rsid w:val="00183640"/>
    <w:rsid w:val="00183973"/>
    <w:rsid w:val="00184013"/>
    <w:rsid w:val="0018418E"/>
    <w:rsid w:val="001841D7"/>
    <w:rsid w:val="001848A6"/>
    <w:rsid w:val="00184C93"/>
    <w:rsid w:val="00184F24"/>
    <w:rsid w:val="001850EB"/>
    <w:rsid w:val="001853FE"/>
    <w:rsid w:val="00185459"/>
    <w:rsid w:val="001856BC"/>
    <w:rsid w:val="001858E2"/>
    <w:rsid w:val="00185E66"/>
    <w:rsid w:val="001862C7"/>
    <w:rsid w:val="00186596"/>
    <w:rsid w:val="00186B36"/>
    <w:rsid w:val="00186DEC"/>
    <w:rsid w:val="00186F7A"/>
    <w:rsid w:val="00187130"/>
    <w:rsid w:val="00187496"/>
    <w:rsid w:val="001875C2"/>
    <w:rsid w:val="001877FC"/>
    <w:rsid w:val="00187904"/>
    <w:rsid w:val="00187AA5"/>
    <w:rsid w:val="00187DA7"/>
    <w:rsid w:val="00187F8B"/>
    <w:rsid w:val="00190051"/>
    <w:rsid w:val="0019032F"/>
    <w:rsid w:val="00190C01"/>
    <w:rsid w:val="00190CB3"/>
    <w:rsid w:val="00191418"/>
    <w:rsid w:val="001918CB"/>
    <w:rsid w:val="00191E02"/>
    <w:rsid w:val="0019262C"/>
    <w:rsid w:val="00192A45"/>
    <w:rsid w:val="00192AD4"/>
    <w:rsid w:val="001930AE"/>
    <w:rsid w:val="0019353B"/>
    <w:rsid w:val="00193657"/>
    <w:rsid w:val="00193A49"/>
    <w:rsid w:val="00193C6B"/>
    <w:rsid w:val="00193ECA"/>
    <w:rsid w:val="001940F9"/>
    <w:rsid w:val="00194C75"/>
    <w:rsid w:val="00194E62"/>
    <w:rsid w:val="0019513B"/>
    <w:rsid w:val="00195A3F"/>
    <w:rsid w:val="00195B86"/>
    <w:rsid w:val="00195BC6"/>
    <w:rsid w:val="00196075"/>
    <w:rsid w:val="001973D4"/>
    <w:rsid w:val="001977D8"/>
    <w:rsid w:val="00197AF7"/>
    <w:rsid w:val="001A053F"/>
    <w:rsid w:val="001A06A2"/>
    <w:rsid w:val="001A0AC3"/>
    <w:rsid w:val="001A0B64"/>
    <w:rsid w:val="001A0BE8"/>
    <w:rsid w:val="001A1888"/>
    <w:rsid w:val="001A1A3B"/>
    <w:rsid w:val="001A1DDB"/>
    <w:rsid w:val="001A2616"/>
    <w:rsid w:val="001A2D81"/>
    <w:rsid w:val="001A312C"/>
    <w:rsid w:val="001A3600"/>
    <w:rsid w:val="001A3939"/>
    <w:rsid w:val="001A4046"/>
    <w:rsid w:val="001A4CA8"/>
    <w:rsid w:val="001A4E66"/>
    <w:rsid w:val="001A5B51"/>
    <w:rsid w:val="001A62BF"/>
    <w:rsid w:val="001A6822"/>
    <w:rsid w:val="001A6A49"/>
    <w:rsid w:val="001A6E1F"/>
    <w:rsid w:val="001A7207"/>
    <w:rsid w:val="001A763E"/>
    <w:rsid w:val="001A77CD"/>
    <w:rsid w:val="001A7B47"/>
    <w:rsid w:val="001B0245"/>
    <w:rsid w:val="001B1322"/>
    <w:rsid w:val="001B1B4E"/>
    <w:rsid w:val="001B1E27"/>
    <w:rsid w:val="001B21BE"/>
    <w:rsid w:val="001B2569"/>
    <w:rsid w:val="001B35B7"/>
    <w:rsid w:val="001B3A56"/>
    <w:rsid w:val="001B3DFC"/>
    <w:rsid w:val="001B48DA"/>
    <w:rsid w:val="001B4DB1"/>
    <w:rsid w:val="001B4FE5"/>
    <w:rsid w:val="001B5DAD"/>
    <w:rsid w:val="001B6C55"/>
    <w:rsid w:val="001B6D11"/>
    <w:rsid w:val="001B6E9C"/>
    <w:rsid w:val="001B6ED1"/>
    <w:rsid w:val="001B74F5"/>
    <w:rsid w:val="001B7674"/>
    <w:rsid w:val="001B7966"/>
    <w:rsid w:val="001B7A2F"/>
    <w:rsid w:val="001C0D81"/>
    <w:rsid w:val="001C0DC5"/>
    <w:rsid w:val="001C0EC9"/>
    <w:rsid w:val="001C1067"/>
    <w:rsid w:val="001C1674"/>
    <w:rsid w:val="001C188D"/>
    <w:rsid w:val="001C2027"/>
    <w:rsid w:val="001C2045"/>
    <w:rsid w:val="001C227B"/>
    <w:rsid w:val="001C234D"/>
    <w:rsid w:val="001C2385"/>
    <w:rsid w:val="001C26FA"/>
    <w:rsid w:val="001C2ACB"/>
    <w:rsid w:val="001C2CD0"/>
    <w:rsid w:val="001C30F0"/>
    <w:rsid w:val="001C34CD"/>
    <w:rsid w:val="001C4459"/>
    <w:rsid w:val="001C47C6"/>
    <w:rsid w:val="001C552D"/>
    <w:rsid w:val="001C5612"/>
    <w:rsid w:val="001C5AC7"/>
    <w:rsid w:val="001C6220"/>
    <w:rsid w:val="001C656B"/>
    <w:rsid w:val="001C6F5D"/>
    <w:rsid w:val="001C6FF6"/>
    <w:rsid w:val="001C715D"/>
    <w:rsid w:val="001C758D"/>
    <w:rsid w:val="001C75AB"/>
    <w:rsid w:val="001C7924"/>
    <w:rsid w:val="001C7D6D"/>
    <w:rsid w:val="001C7EC3"/>
    <w:rsid w:val="001D128A"/>
    <w:rsid w:val="001D14DF"/>
    <w:rsid w:val="001D1505"/>
    <w:rsid w:val="001D17B7"/>
    <w:rsid w:val="001D19C3"/>
    <w:rsid w:val="001D22AC"/>
    <w:rsid w:val="001D2336"/>
    <w:rsid w:val="001D24B2"/>
    <w:rsid w:val="001D29E7"/>
    <w:rsid w:val="001D2BA4"/>
    <w:rsid w:val="001D40BA"/>
    <w:rsid w:val="001D4843"/>
    <w:rsid w:val="001D556A"/>
    <w:rsid w:val="001D5BBE"/>
    <w:rsid w:val="001D5CF4"/>
    <w:rsid w:val="001D5E71"/>
    <w:rsid w:val="001D5F6E"/>
    <w:rsid w:val="001D5FD5"/>
    <w:rsid w:val="001D5FF1"/>
    <w:rsid w:val="001D6168"/>
    <w:rsid w:val="001D61D3"/>
    <w:rsid w:val="001D6997"/>
    <w:rsid w:val="001D7360"/>
    <w:rsid w:val="001D7845"/>
    <w:rsid w:val="001E04DB"/>
    <w:rsid w:val="001E0D39"/>
    <w:rsid w:val="001E1907"/>
    <w:rsid w:val="001E1AD3"/>
    <w:rsid w:val="001E1CB6"/>
    <w:rsid w:val="001E2080"/>
    <w:rsid w:val="001E20DB"/>
    <w:rsid w:val="001E214C"/>
    <w:rsid w:val="001E22AC"/>
    <w:rsid w:val="001E267A"/>
    <w:rsid w:val="001E274E"/>
    <w:rsid w:val="001E2B19"/>
    <w:rsid w:val="001E2B77"/>
    <w:rsid w:val="001E3381"/>
    <w:rsid w:val="001E355B"/>
    <w:rsid w:val="001E3878"/>
    <w:rsid w:val="001E4046"/>
    <w:rsid w:val="001E409D"/>
    <w:rsid w:val="001E4DD2"/>
    <w:rsid w:val="001E5BAF"/>
    <w:rsid w:val="001E5E24"/>
    <w:rsid w:val="001E5EBE"/>
    <w:rsid w:val="001E627E"/>
    <w:rsid w:val="001E647B"/>
    <w:rsid w:val="001E6908"/>
    <w:rsid w:val="001E6AA8"/>
    <w:rsid w:val="001E72B0"/>
    <w:rsid w:val="001E7DD4"/>
    <w:rsid w:val="001F0574"/>
    <w:rsid w:val="001F15F9"/>
    <w:rsid w:val="001F1C9F"/>
    <w:rsid w:val="001F1DB6"/>
    <w:rsid w:val="001F22E4"/>
    <w:rsid w:val="001F243A"/>
    <w:rsid w:val="001F2580"/>
    <w:rsid w:val="001F26A7"/>
    <w:rsid w:val="001F28EA"/>
    <w:rsid w:val="001F334D"/>
    <w:rsid w:val="001F35FD"/>
    <w:rsid w:val="001F378E"/>
    <w:rsid w:val="001F3A84"/>
    <w:rsid w:val="001F3C18"/>
    <w:rsid w:val="001F3C91"/>
    <w:rsid w:val="001F4180"/>
    <w:rsid w:val="001F43F0"/>
    <w:rsid w:val="001F4A23"/>
    <w:rsid w:val="001F5035"/>
    <w:rsid w:val="001F5A24"/>
    <w:rsid w:val="001F5D53"/>
    <w:rsid w:val="001F5D7B"/>
    <w:rsid w:val="001F6549"/>
    <w:rsid w:val="001F6E09"/>
    <w:rsid w:val="001F774A"/>
    <w:rsid w:val="001F7B01"/>
    <w:rsid w:val="001F7EF1"/>
    <w:rsid w:val="00200138"/>
    <w:rsid w:val="00200425"/>
    <w:rsid w:val="00200466"/>
    <w:rsid w:val="00200F0C"/>
    <w:rsid w:val="0020105F"/>
    <w:rsid w:val="0020112F"/>
    <w:rsid w:val="00201745"/>
    <w:rsid w:val="0020196B"/>
    <w:rsid w:val="00201C68"/>
    <w:rsid w:val="0020228B"/>
    <w:rsid w:val="002022FB"/>
    <w:rsid w:val="00202523"/>
    <w:rsid w:val="00202F37"/>
    <w:rsid w:val="002035A2"/>
    <w:rsid w:val="002037D7"/>
    <w:rsid w:val="00203A39"/>
    <w:rsid w:val="00203EB3"/>
    <w:rsid w:val="002044E2"/>
    <w:rsid w:val="002044E6"/>
    <w:rsid w:val="00204649"/>
    <w:rsid w:val="00204BA4"/>
    <w:rsid w:val="00204C4B"/>
    <w:rsid w:val="00204DA4"/>
    <w:rsid w:val="0020507A"/>
    <w:rsid w:val="002054DD"/>
    <w:rsid w:val="00205628"/>
    <w:rsid w:val="0020578B"/>
    <w:rsid w:val="0020590F"/>
    <w:rsid w:val="00205B22"/>
    <w:rsid w:val="00205C8D"/>
    <w:rsid w:val="002061C8"/>
    <w:rsid w:val="00207956"/>
    <w:rsid w:val="00207BD7"/>
    <w:rsid w:val="00207EB1"/>
    <w:rsid w:val="002112EA"/>
    <w:rsid w:val="00211C9C"/>
    <w:rsid w:val="00211D23"/>
    <w:rsid w:val="00212929"/>
    <w:rsid w:val="00212FFA"/>
    <w:rsid w:val="002132CF"/>
    <w:rsid w:val="00213DE7"/>
    <w:rsid w:val="00214260"/>
    <w:rsid w:val="00214347"/>
    <w:rsid w:val="00214431"/>
    <w:rsid w:val="002145FB"/>
    <w:rsid w:val="0021594E"/>
    <w:rsid w:val="00216320"/>
    <w:rsid w:val="002163BA"/>
    <w:rsid w:val="00216F2F"/>
    <w:rsid w:val="00217069"/>
    <w:rsid w:val="002173F9"/>
    <w:rsid w:val="002179C0"/>
    <w:rsid w:val="00220198"/>
    <w:rsid w:val="00220BC5"/>
    <w:rsid w:val="00221210"/>
    <w:rsid w:val="002212A5"/>
    <w:rsid w:val="00221768"/>
    <w:rsid w:val="00221958"/>
    <w:rsid w:val="00221E8E"/>
    <w:rsid w:val="00223B49"/>
    <w:rsid w:val="002242C3"/>
    <w:rsid w:val="002250C4"/>
    <w:rsid w:val="00225AAB"/>
    <w:rsid w:val="00225E2D"/>
    <w:rsid w:val="00226159"/>
    <w:rsid w:val="00226555"/>
    <w:rsid w:val="00226B22"/>
    <w:rsid w:val="002270BF"/>
    <w:rsid w:val="0022755C"/>
    <w:rsid w:val="00227D13"/>
    <w:rsid w:val="00227ECD"/>
    <w:rsid w:val="00227F54"/>
    <w:rsid w:val="002304B2"/>
    <w:rsid w:val="002305BC"/>
    <w:rsid w:val="00230723"/>
    <w:rsid w:val="00230DCA"/>
    <w:rsid w:val="00231277"/>
    <w:rsid w:val="00231646"/>
    <w:rsid w:val="002325E6"/>
    <w:rsid w:val="002327D2"/>
    <w:rsid w:val="00232903"/>
    <w:rsid w:val="00232CE2"/>
    <w:rsid w:val="00232DFF"/>
    <w:rsid w:val="0023384B"/>
    <w:rsid w:val="00233F60"/>
    <w:rsid w:val="00234602"/>
    <w:rsid w:val="00234C83"/>
    <w:rsid w:val="00235021"/>
    <w:rsid w:val="002355D5"/>
    <w:rsid w:val="00235BD8"/>
    <w:rsid w:val="0023661C"/>
    <w:rsid w:val="002373C1"/>
    <w:rsid w:val="00237488"/>
    <w:rsid w:val="002379DD"/>
    <w:rsid w:val="00237AEE"/>
    <w:rsid w:val="00237C6E"/>
    <w:rsid w:val="00237D04"/>
    <w:rsid w:val="00240C00"/>
    <w:rsid w:val="00240DBD"/>
    <w:rsid w:val="002410EF"/>
    <w:rsid w:val="002418CB"/>
    <w:rsid w:val="002418EE"/>
    <w:rsid w:val="0024279B"/>
    <w:rsid w:val="002428C5"/>
    <w:rsid w:val="002429B7"/>
    <w:rsid w:val="002433D9"/>
    <w:rsid w:val="0024344E"/>
    <w:rsid w:val="00244044"/>
    <w:rsid w:val="002440D5"/>
    <w:rsid w:val="002442A6"/>
    <w:rsid w:val="00244891"/>
    <w:rsid w:val="00244C54"/>
    <w:rsid w:val="00244CF7"/>
    <w:rsid w:val="00245329"/>
    <w:rsid w:val="00245360"/>
    <w:rsid w:val="002455B7"/>
    <w:rsid w:val="00245AE2"/>
    <w:rsid w:val="00245B98"/>
    <w:rsid w:val="00245E63"/>
    <w:rsid w:val="00245EEE"/>
    <w:rsid w:val="00246AA8"/>
    <w:rsid w:val="00247C34"/>
    <w:rsid w:val="0025072E"/>
    <w:rsid w:val="00250883"/>
    <w:rsid w:val="00250F90"/>
    <w:rsid w:val="002515E2"/>
    <w:rsid w:val="00251CD2"/>
    <w:rsid w:val="00252262"/>
    <w:rsid w:val="0025237B"/>
    <w:rsid w:val="002526AC"/>
    <w:rsid w:val="002526E9"/>
    <w:rsid w:val="00252AA6"/>
    <w:rsid w:val="00252BC2"/>
    <w:rsid w:val="00252FF2"/>
    <w:rsid w:val="00253E6E"/>
    <w:rsid w:val="00253F17"/>
    <w:rsid w:val="00254028"/>
    <w:rsid w:val="00254077"/>
    <w:rsid w:val="00254593"/>
    <w:rsid w:val="002547C6"/>
    <w:rsid w:val="0025485F"/>
    <w:rsid w:val="00254CE8"/>
    <w:rsid w:val="00255751"/>
    <w:rsid w:val="00255912"/>
    <w:rsid w:val="00255EAB"/>
    <w:rsid w:val="00255FD6"/>
    <w:rsid w:val="0025605E"/>
    <w:rsid w:val="002567E8"/>
    <w:rsid w:val="0025687E"/>
    <w:rsid w:val="00256BD1"/>
    <w:rsid w:val="00256D54"/>
    <w:rsid w:val="00256F65"/>
    <w:rsid w:val="00257472"/>
    <w:rsid w:val="0025749E"/>
    <w:rsid w:val="00257A37"/>
    <w:rsid w:val="00257D90"/>
    <w:rsid w:val="00257E0B"/>
    <w:rsid w:val="0026021F"/>
    <w:rsid w:val="0026041C"/>
    <w:rsid w:val="002606BE"/>
    <w:rsid w:val="00260CFE"/>
    <w:rsid w:val="002615E9"/>
    <w:rsid w:val="002619AA"/>
    <w:rsid w:val="00261EED"/>
    <w:rsid w:val="00262444"/>
    <w:rsid w:val="00262C42"/>
    <w:rsid w:val="00262E20"/>
    <w:rsid w:val="00262F16"/>
    <w:rsid w:val="00263F1D"/>
    <w:rsid w:val="002644A7"/>
    <w:rsid w:val="002645A1"/>
    <w:rsid w:val="00264B04"/>
    <w:rsid w:val="00264F5C"/>
    <w:rsid w:val="002656CB"/>
    <w:rsid w:val="0026591B"/>
    <w:rsid w:val="00265934"/>
    <w:rsid w:val="00265A2E"/>
    <w:rsid w:val="00265ABB"/>
    <w:rsid w:val="00265CEC"/>
    <w:rsid w:val="00265F9E"/>
    <w:rsid w:val="00266709"/>
    <w:rsid w:val="002669B1"/>
    <w:rsid w:val="00266CAB"/>
    <w:rsid w:val="00266CC8"/>
    <w:rsid w:val="002670DF"/>
    <w:rsid w:val="002675AF"/>
    <w:rsid w:val="00267FCF"/>
    <w:rsid w:val="00270C15"/>
    <w:rsid w:val="00270C9E"/>
    <w:rsid w:val="00270CBD"/>
    <w:rsid w:val="0027167C"/>
    <w:rsid w:val="00271794"/>
    <w:rsid w:val="0027187B"/>
    <w:rsid w:val="00271C60"/>
    <w:rsid w:val="002722EB"/>
    <w:rsid w:val="0027237E"/>
    <w:rsid w:val="00272E2A"/>
    <w:rsid w:val="00274278"/>
    <w:rsid w:val="00274E8B"/>
    <w:rsid w:val="00275203"/>
    <w:rsid w:val="00275644"/>
    <w:rsid w:val="002758E0"/>
    <w:rsid w:val="00275B8F"/>
    <w:rsid w:val="00275DA9"/>
    <w:rsid w:val="00275FCA"/>
    <w:rsid w:val="0027625F"/>
    <w:rsid w:val="0027690E"/>
    <w:rsid w:val="00276C8A"/>
    <w:rsid w:val="00276EE3"/>
    <w:rsid w:val="002776AA"/>
    <w:rsid w:val="00277C3A"/>
    <w:rsid w:val="00277D7D"/>
    <w:rsid w:val="00277E3B"/>
    <w:rsid w:val="002813BA"/>
    <w:rsid w:val="00281D85"/>
    <w:rsid w:val="00281EDE"/>
    <w:rsid w:val="0028248F"/>
    <w:rsid w:val="002826D0"/>
    <w:rsid w:val="00282836"/>
    <w:rsid w:val="00282853"/>
    <w:rsid w:val="002828D0"/>
    <w:rsid w:val="00282F13"/>
    <w:rsid w:val="00283487"/>
    <w:rsid w:val="002837CB"/>
    <w:rsid w:val="00283D46"/>
    <w:rsid w:val="0028443C"/>
    <w:rsid w:val="0028461A"/>
    <w:rsid w:val="00284EB6"/>
    <w:rsid w:val="002852D9"/>
    <w:rsid w:val="002854CF"/>
    <w:rsid w:val="00285E51"/>
    <w:rsid w:val="002867C4"/>
    <w:rsid w:val="00286A84"/>
    <w:rsid w:val="00287D33"/>
    <w:rsid w:val="0029049E"/>
    <w:rsid w:val="00290D4A"/>
    <w:rsid w:val="0029100D"/>
    <w:rsid w:val="002910F7"/>
    <w:rsid w:val="00291BC3"/>
    <w:rsid w:val="002920F4"/>
    <w:rsid w:val="002922B5"/>
    <w:rsid w:val="00292595"/>
    <w:rsid w:val="002925CC"/>
    <w:rsid w:val="002927D9"/>
    <w:rsid w:val="002932A7"/>
    <w:rsid w:val="00293710"/>
    <w:rsid w:val="00293AF2"/>
    <w:rsid w:val="00294370"/>
    <w:rsid w:val="0029462F"/>
    <w:rsid w:val="002947A8"/>
    <w:rsid w:val="00294857"/>
    <w:rsid w:val="00295346"/>
    <w:rsid w:val="002957AA"/>
    <w:rsid w:val="0029586D"/>
    <w:rsid w:val="002958D3"/>
    <w:rsid w:val="00295D4E"/>
    <w:rsid w:val="00296759"/>
    <w:rsid w:val="00296D1F"/>
    <w:rsid w:val="002974EB"/>
    <w:rsid w:val="002979D2"/>
    <w:rsid w:val="002979F0"/>
    <w:rsid w:val="00297D45"/>
    <w:rsid w:val="002A08DF"/>
    <w:rsid w:val="002A14DE"/>
    <w:rsid w:val="002A18FC"/>
    <w:rsid w:val="002A1910"/>
    <w:rsid w:val="002A2A35"/>
    <w:rsid w:val="002A2AB2"/>
    <w:rsid w:val="002A320D"/>
    <w:rsid w:val="002A34CD"/>
    <w:rsid w:val="002A4096"/>
    <w:rsid w:val="002A457E"/>
    <w:rsid w:val="002A4E61"/>
    <w:rsid w:val="002A5066"/>
    <w:rsid w:val="002A5419"/>
    <w:rsid w:val="002A570F"/>
    <w:rsid w:val="002A593D"/>
    <w:rsid w:val="002A5E55"/>
    <w:rsid w:val="002A614F"/>
    <w:rsid w:val="002A63A5"/>
    <w:rsid w:val="002A681E"/>
    <w:rsid w:val="002A6B38"/>
    <w:rsid w:val="002A6BEC"/>
    <w:rsid w:val="002A7398"/>
    <w:rsid w:val="002A745D"/>
    <w:rsid w:val="002A74DA"/>
    <w:rsid w:val="002A766C"/>
    <w:rsid w:val="002B00D8"/>
    <w:rsid w:val="002B062D"/>
    <w:rsid w:val="002B06E5"/>
    <w:rsid w:val="002B0D38"/>
    <w:rsid w:val="002B10FA"/>
    <w:rsid w:val="002B1C4A"/>
    <w:rsid w:val="002B27B2"/>
    <w:rsid w:val="002B2ACE"/>
    <w:rsid w:val="002B339F"/>
    <w:rsid w:val="002B347F"/>
    <w:rsid w:val="002B35A2"/>
    <w:rsid w:val="002B4501"/>
    <w:rsid w:val="002B47DF"/>
    <w:rsid w:val="002B4A29"/>
    <w:rsid w:val="002B4FDE"/>
    <w:rsid w:val="002B522D"/>
    <w:rsid w:val="002B53CF"/>
    <w:rsid w:val="002B556D"/>
    <w:rsid w:val="002B5A74"/>
    <w:rsid w:val="002B5ED4"/>
    <w:rsid w:val="002B6179"/>
    <w:rsid w:val="002B68B5"/>
    <w:rsid w:val="002B6A60"/>
    <w:rsid w:val="002B6FBC"/>
    <w:rsid w:val="002B766E"/>
    <w:rsid w:val="002B7FB9"/>
    <w:rsid w:val="002C0114"/>
    <w:rsid w:val="002C031C"/>
    <w:rsid w:val="002C0A97"/>
    <w:rsid w:val="002C10BB"/>
    <w:rsid w:val="002C125A"/>
    <w:rsid w:val="002C1BBE"/>
    <w:rsid w:val="002C1CD8"/>
    <w:rsid w:val="002C1E78"/>
    <w:rsid w:val="002C1F2E"/>
    <w:rsid w:val="002C234E"/>
    <w:rsid w:val="002C2532"/>
    <w:rsid w:val="002C2615"/>
    <w:rsid w:val="002C2FD9"/>
    <w:rsid w:val="002C307E"/>
    <w:rsid w:val="002C3817"/>
    <w:rsid w:val="002C3E33"/>
    <w:rsid w:val="002C40A5"/>
    <w:rsid w:val="002C4164"/>
    <w:rsid w:val="002C456E"/>
    <w:rsid w:val="002C4B2A"/>
    <w:rsid w:val="002C4F6A"/>
    <w:rsid w:val="002C52F5"/>
    <w:rsid w:val="002C53B8"/>
    <w:rsid w:val="002C5878"/>
    <w:rsid w:val="002C5E50"/>
    <w:rsid w:val="002C5EB9"/>
    <w:rsid w:val="002C659A"/>
    <w:rsid w:val="002C6F26"/>
    <w:rsid w:val="002C715D"/>
    <w:rsid w:val="002C74FA"/>
    <w:rsid w:val="002C79E4"/>
    <w:rsid w:val="002C7C08"/>
    <w:rsid w:val="002C7C7B"/>
    <w:rsid w:val="002C7EA8"/>
    <w:rsid w:val="002D053C"/>
    <w:rsid w:val="002D080F"/>
    <w:rsid w:val="002D0BBB"/>
    <w:rsid w:val="002D1045"/>
    <w:rsid w:val="002D1782"/>
    <w:rsid w:val="002D1C76"/>
    <w:rsid w:val="002D2451"/>
    <w:rsid w:val="002D25FF"/>
    <w:rsid w:val="002D26B9"/>
    <w:rsid w:val="002D280E"/>
    <w:rsid w:val="002D2BB3"/>
    <w:rsid w:val="002D2CC6"/>
    <w:rsid w:val="002D2CF0"/>
    <w:rsid w:val="002D2F20"/>
    <w:rsid w:val="002D34FA"/>
    <w:rsid w:val="002D3779"/>
    <w:rsid w:val="002D3BBF"/>
    <w:rsid w:val="002D515B"/>
    <w:rsid w:val="002D562D"/>
    <w:rsid w:val="002D56BB"/>
    <w:rsid w:val="002D5B2A"/>
    <w:rsid w:val="002D5C43"/>
    <w:rsid w:val="002D5EE5"/>
    <w:rsid w:val="002D5F5C"/>
    <w:rsid w:val="002D5F8D"/>
    <w:rsid w:val="002D6729"/>
    <w:rsid w:val="002D6785"/>
    <w:rsid w:val="002D6C81"/>
    <w:rsid w:val="002D6CAC"/>
    <w:rsid w:val="002D6D79"/>
    <w:rsid w:val="002D7370"/>
    <w:rsid w:val="002D7467"/>
    <w:rsid w:val="002D7D10"/>
    <w:rsid w:val="002D7D2C"/>
    <w:rsid w:val="002D7D86"/>
    <w:rsid w:val="002D7FC3"/>
    <w:rsid w:val="002E0241"/>
    <w:rsid w:val="002E0A98"/>
    <w:rsid w:val="002E0D98"/>
    <w:rsid w:val="002E10A9"/>
    <w:rsid w:val="002E121D"/>
    <w:rsid w:val="002E1B32"/>
    <w:rsid w:val="002E1C22"/>
    <w:rsid w:val="002E2327"/>
    <w:rsid w:val="002E23B7"/>
    <w:rsid w:val="002E23DB"/>
    <w:rsid w:val="002E2543"/>
    <w:rsid w:val="002E27A4"/>
    <w:rsid w:val="002E2AB9"/>
    <w:rsid w:val="002E2EFE"/>
    <w:rsid w:val="002E3A2E"/>
    <w:rsid w:val="002E3F15"/>
    <w:rsid w:val="002E4D77"/>
    <w:rsid w:val="002E53FE"/>
    <w:rsid w:val="002E60E6"/>
    <w:rsid w:val="002E612E"/>
    <w:rsid w:val="002E69F4"/>
    <w:rsid w:val="002E69FB"/>
    <w:rsid w:val="002E74BE"/>
    <w:rsid w:val="002E7767"/>
    <w:rsid w:val="002E7DA8"/>
    <w:rsid w:val="002E7EEF"/>
    <w:rsid w:val="002F0B0D"/>
    <w:rsid w:val="002F0B96"/>
    <w:rsid w:val="002F15D5"/>
    <w:rsid w:val="002F16CB"/>
    <w:rsid w:val="002F196E"/>
    <w:rsid w:val="002F2924"/>
    <w:rsid w:val="002F2938"/>
    <w:rsid w:val="002F2C2E"/>
    <w:rsid w:val="002F330C"/>
    <w:rsid w:val="002F33D9"/>
    <w:rsid w:val="002F3F55"/>
    <w:rsid w:val="002F41A3"/>
    <w:rsid w:val="002F4691"/>
    <w:rsid w:val="002F474B"/>
    <w:rsid w:val="002F4C2C"/>
    <w:rsid w:val="002F59CB"/>
    <w:rsid w:val="002F636D"/>
    <w:rsid w:val="002F640B"/>
    <w:rsid w:val="002F6D1A"/>
    <w:rsid w:val="002F719C"/>
    <w:rsid w:val="002F73DD"/>
    <w:rsid w:val="002F7715"/>
    <w:rsid w:val="002F7FC4"/>
    <w:rsid w:val="00300094"/>
    <w:rsid w:val="00300C42"/>
    <w:rsid w:val="00300CE7"/>
    <w:rsid w:val="00301293"/>
    <w:rsid w:val="0030133E"/>
    <w:rsid w:val="003014BF"/>
    <w:rsid w:val="00302026"/>
    <w:rsid w:val="00302679"/>
    <w:rsid w:val="00302CAF"/>
    <w:rsid w:val="0030327B"/>
    <w:rsid w:val="00303657"/>
    <w:rsid w:val="00303E52"/>
    <w:rsid w:val="0030481E"/>
    <w:rsid w:val="0030516C"/>
    <w:rsid w:val="00305559"/>
    <w:rsid w:val="00305721"/>
    <w:rsid w:val="00305794"/>
    <w:rsid w:val="00305C20"/>
    <w:rsid w:val="003060BF"/>
    <w:rsid w:val="00306170"/>
    <w:rsid w:val="003062E3"/>
    <w:rsid w:val="0030639B"/>
    <w:rsid w:val="00306560"/>
    <w:rsid w:val="00306E2C"/>
    <w:rsid w:val="00307965"/>
    <w:rsid w:val="00310109"/>
    <w:rsid w:val="00310162"/>
    <w:rsid w:val="00310EBC"/>
    <w:rsid w:val="00311303"/>
    <w:rsid w:val="003114B9"/>
    <w:rsid w:val="00311685"/>
    <w:rsid w:val="00311889"/>
    <w:rsid w:val="003124CA"/>
    <w:rsid w:val="00312751"/>
    <w:rsid w:val="00312DA9"/>
    <w:rsid w:val="00312E83"/>
    <w:rsid w:val="00313840"/>
    <w:rsid w:val="00313A31"/>
    <w:rsid w:val="003144F8"/>
    <w:rsid w:val="0031498D"/>
    <w:rsid w:val="00315278"/>
    <w:rsid w:val="0031574E"/>
    <w:rsid w:val="00315773"/>
    <w:rsid w:val="00315BBE"/>
    <w:rsid w:val="00315E86"/>
    <w:rsid w:val="0031721B"/>
    <w:rsid w:val="00317E74"/>
    <w:rsid w:val="00317F1C"/>
    <w:rsid w:val="003202F8"/>
    <w:rsid w:val="003205AE"/>
    <w:rsid w:val="00321345"/>
    <w:rsid w:val="003218E0"/>
    <w:rsid w:val="00321962"/>
    <w:rsid w:val="003219EC"/>
    <w:rsid w:val="00322DB0"/>
    <w:rsid w:val="00322FB2"/>
    <w:rsid w:val="003230E7"/>
    <w:rsid w:val="00323465"/>
    <w:rsid w:val="00324029"/>
    <w:rsid w:val="0032440A"/>
    <w:rsid w:val="00324CB0"/>
    <w:rsid w:val="003256AF"/>
    <w:rsid w:val="00325899"/>
    <w:rsid w:val="00325B1C"/>
    <w:rsid w:val="003261DB"/>
    <w:rsid w:val="0032622F"/>
    <w:rsid w:val="00326455"/>
    <w:rsid w:val="00326EF9"/>
    <w:rsid w:val="00326F42"/>
    <w:rsid w:val="003277C9"/>
    <w:rsid w:val="00327E28"/>
    <w:rsid w:val="00330C88"/>
    <w:rsid w:val="00331D20"/>
    <w:rsid w:val="00331DEB"/>
    <w:rsid w:val="003320A3"/>
    <w:rsid w:val="0033232B"/>
    <w:rsid w:val="003328D0"/>
    <w:rsid w:val="00332E41"/>
    <w:rsid w:val="003334CB"/>
    <w:rsid w:val="0033355A"/>
    <w:rsid w:val="00334406"/>
    <w:rsid w:val="00334AAD"/>
    <w:rsid w:val="00334D6B"/>
    <w:rsid w:val="00334D6D"/>
    <w:rsid w:val="00334DC7"/>
    <w:rsid w:val="003351C2"/>
    <w:rsid w:val="00335393"/>
    <w:rsid w:val="0033540A"/>
    <w:rsid w:val="00336310"/>
    <w:rsid w:val="003368A4"/>
    <w:rsid w:val="00336C36"/>
    <w:rsid w:val="00340474"/>
    <w:rsid w:val="0034059A"/>
    <w:rsid w:val="00340C64"/>
    <w:rsid w:val="00340E1D"/>
    <w:rsid w:val="00340FFF"/>
    <w:rsid w:val="00341102"/>
    <w:rsid w:val="0034156C"/>
    <w:rsid w:val="003418E7"/>
    <w:rsid w:val="003421BA"/>
    <w:rsid w:val="003428BD"/>
    <w:rsid w:val="003429B6"/>
    <w:rsid w:val="003429FD"/>
    <w:rsid w:val="00342B4F"/>
    <w:rsid w:val="00342CEF"/>
    <w:rsid w:val="0034304A"/>
    <w:rsid w:val="00343066"/>
    <w:rsid w:val="00343221"/>
    <w:rsid w:val="00343292"/>
    <w:rsid w:val="003438AA"/>
    <w:rsid w:val="00343910"/>
    <w:rsid w:val="0034413E"/>
    <w:rsid w:val="0034437E"/>
    <w:rsid w:val="0034464D"/>
    <w:rsid w:val="0034468C"/>
    <w:rsid w:val="00344AF3"/>
    <w:rsid w:val="0034539D"/>
    <w:rsid w:val="00345527"/>
    <w:rsid w:val="003457C7"/>
    <w:rsid w:val="00345B30"/>
    <w:rsid w:val="00347E0B"/>
    <w:rsid w:val="00347FC8"/>
    <w:rsid w:val="003504CC"/>
    <w:rsid w:val="00350C64"/>
    <w:rsid w:val="00351685"/>
    <w:rsid w:val="00351E35"/>
    <w:rsid w:val="00351E7A"/>
    <w:rsid w:val="003523EA"/>
    <w:rsid w:val="00353073"/>
    <w:rsid w:val="0035323C"/>
    <w:rsid w:val="0035360E"/>
    <w:rsid w:val="0035390D"/>
    <w:rsid w:val="00353DA1"/>
    <w:rsid w:val="00354348"/>
    <w:rsid w:val="0035440E"/>
    <w:rsid w:val="00354577"/>
    <w:rsid w:val="003546CC"/>
    <w:rsid w:val="00354B26"/>
    <w:rsid w:val="00354CEF"/>
    <w:rsid w:val="00354D25"/>
    <w:rsid w:val="00355502"/>
    <w:rsid w:val="0035569F"/>
    <w:rsid w:val="00355956"/>
    <w:rsid w:val="003567C3"/>
    <w:rsid w:val="003569D4"/>
    <w:rsid w:val="00356C33"/>
    <w:rsid w:val="00356C9A"/>
    <w:rsid w:val="00356F70"/>
    <w:rsid w:val="00356FBE"/>
    <w:rsid w:val="00357888"/>
    <w:rsid w:val="00357A09"/>
    <w:rsid w:val="003604CC"/>
    <w:rsid w:val="0036088A"/>
    <w:rsid w:val="00360DA5"/>
    <w:rsid w:val="00361500"/>
    <w:rsid w:val="00361520"/>
    <w:rsid w:val="003615BC"/>
    <w:rsid w:val="00361994"/>
    <w:rsid w:val="00361F44"/>
    <w:rsid w:val="0036223F"/>
    <w:rsid w:val="00362465"/>
    <w:rsid w:val="00362784"/>
    <w:rsid w:val="00363AE2"/>
    <w:rsid w:val="00363D02"/>
    <w:rsid w:val="0036401C"/>
    <w:rsid w:val="00364490"/>
    <w:rsid w:val="003645AF"/>
    <w:rsid w:val="003647CA"/>
    <w:rsid w:val="0036485E"/>
    <w:rsid w:val="00364A73"/>
    <w:rsid w:val="003660AC"/>
    <w:rsid w:val="003663C9"/>
    <w:rsid w:val="00367CB7"/>
    <w:rsid w:val="00370290"/>
    <w:rsid w:val="0037065C"/>
    <w:rsid w:val="00370C99"/>
    <w:rsid w:val="00371B80"/>
    <w:rsid w:val="00371CA5"/>
    <w:rsid w:val="00371DB6"/>
    <w:rsid w:val="00371DFF"/>
    <w:rsid w:val="003720B4"/>
    <w:rsid w:val="00372232"/>
    <w:rsid w:val="0037269D"/>
    <w:rsid w:val="003730FF"/>
    <w:rsid w:val="003733B7"/>
    <w:rsid w:val="003736DD"/>
    <w:rsid w:val="00373A40"/>
    <w:rsid w:val="0037430F"/>
    <w:rsid w:val="00374420"/>
    <w:rsid w:val="0037485C"/>
    <w:rsid w:val="00374EF0"/>
    <w:rsid w:val="003750E5"/>
    <w:rsid w:val="00375298"/>
    <w:rsid w:val="0037544F"/>
    <w:rsid w:val="00375DE7"/>
    <w:rsid w:val="00375E43"/>
    <w:rsid w:val="0037660E"/>
    <w:rsid w:val="00376865"/>
    <w:rsid w:val="00376A6A"/>
    <w:rsid w:val="00376D50"/>
    <w:rsid w:val="00376F16"/>
    <w:rsid w:val="00377057"/>
    <w:rsid w:val="003770D0"/>
    <w:rsid w:val="00377A34"/>
    <w:rsid w:val="00380040"/>
    <w:rsid w:val="003802B5"/>
    <w:rsid w:val="0038092D"/>
    <w:rsid w:val="00380A22"/>
    <w:rsid w:val="00380FE1"/>
    <w:rsid w:val="003810BA"/>
    <w:rsid w:val="00381360"/>
    <w:rsid w:val="003813C1"/>
    <w:rsid w:val="003815E7"/>
    <w:rsid w:val="00381892"/>
    <w:rsid w:val="0038195C"/>
    <w:rsid w:val="0038213B"/>
    <w:rsid w:val="003824F7"/>
    <w:rsid w:val="00382561"/>
    <w:rsid w:val="0038303F"/>
    <w:rsid w:val="00383324"/>
    <w:rsid w:val="00383538"/>
    <w:rsid w:val="0038391A"/>
    <w:rsid w:val="00383B4B"/>
    <w:rsid w:val="00384A23"/>
    <w:rsid w:val="00384D92"/>
    <w:rsid w:val="00384EE3"/>
    <w:rsid w:val="003857BB"/>
    <w:rsid w:val="0038599A"/>
    <w:rsid w:val="00385A47"/>
    <w:rsid w:val="00385B1E"/>
    <w:rsid w:val="00385F76"/>
    <w:rsid w:val="00386170"/>
    <w:rsid w:val="003862E6"/>
    <w:rsid w:val="00386318"/>
    <w:rsid w:val="00386400"/>
    <w:rsid w:val="00386740"/>
    <w:rsid w:val="003870A9"/>
    <w:rsid w:val="00387D55"/>
    <w:rsid w:val="00390080"/>
    <w:rsid w:val="00390224"/>
    <w:rsid w:val="003907B4"/>
    <w:rsid w:val="00390C14"/>
    <w:rsid w:val="00391363"/>
    <w:rsid w:val="0039176A"/>
    <w:rsid w:val="0039185A"/>
    <w:rsid w:val="00391EAE"/>
    <w:rsid w:val="00392A15"/>
    <w:rsid w:val="00392E2D"/>
    <w:rsid w:val="0039344D"/>
    <w:rsid w:val="0039345A"/>
    <w:rsid w:val="003937FE"/>
    <w:rsid w:val="00393BC6"/>
    <w:rsid w:val="00393BE5"/>
    <w:rsid w:val="00393BEE"/>
    <w:rsid w:val="003944CC"/>
    <w:rsid w:val="00394A61"/>
    <w:rsid w:val="0039530A"/>
    <w:rsid w:val="0039531D"/>
    <w:rsid w:val="003953AF"/>
    <w:rsid w:val="00397BCF"/>
    <w:rsid w:val="003A054D"/>
    <w:rsid w:val="003A08B7"/>
    <w:rsid w:val="003A0993"/>
    <w:rsid w:val="003A0B6A"/>
    <w:rsid w:val="003A1046"/>
    <w:rsid w:val="003A118E"/>
    <w:rsid w:val="003A19DB"/>
    <w:rsid w:val="003A1A36"/>
    <w:rsid w:val="003A1FD6"/>
    <w:rsid w:val="003A30A4"/>
    <w:rsid w:val="003A3785"/>
    <w:rsid w:val="003A3993"/>
    <w:rsid w:val="003A3E74"/>
    <w:rsid w:val="003A4216"/>
    <w:rsid w:val="003A44C9"/>
    <w:rsid w:val="003A451B"/>
    <w:rsid w:val="003A463D"/>
    <w:rsid w:val="003A4AB8"/>
    <w:rsid w:val="003A4DC4"/>
    <w:rsid w:val="003A54E2"/>
    <w:rsid w:val="003A579D"/>
    <w:rsid w:val="003A5A97"/>
    <w:rsid w:val="003A5E6A"/>
    <w:rsid w:val="003A5F22"/>
    <w:rsid w:val="003A68AD"/>
    <w:rsid w:val="003A7034"/>
    <w:rsid w:val="003A7283"/>
    <w:rsid w:val="003A79D5"/>
    <w:rsid w:val="003B04EC"/>
    <w:rsid w:val="003B0835"/>
    <w:rsid w:val="003B0962"/>
    <w:rsid w:val="003B1304"/>
    <w:rsid w:val="003B1EBD"/>
    <w:rsid w:val="003B1EF7"/>
    <w:rsid w:val="003B2896"/>
    <w:rsid w:val="003B2C3D"/>
    <w:rsid w:val="003B2E21"/>
    <w:rsid w:val="003B2E5B"/>
    <w:rsid w:val="003B2FFC"/>
    <w:rsid w:val="003B305A"/>
    <w:rsid w:val="003B30B0"/>
    <w:rsid w:val="003B31A2"/>
    <w:rsid w:val="003B3323"/>
    <w:rsid w:val="003B3BCE"/>
    <w:rsid w:val="003B3FE1"/>
    <w:rsid w:val="003B426B"/>
    <w:rsid w:val="003B43AE"/>
    <w:rsid w:val="003B54A8"/>
    <w:rsid w:val="003B5C57"/>
    <w:rsid w:val="003B5FA4"/>
    <w:rsid w:val="003B6BD4"/>
    <w:rsid w:val="003B745B"/>
    <w:rsid w:val="003B7859"/>
    <w:rsid w:val="003C0673"/>
    <w:rsid w:val="003C069B"/>
    <w:rsid w:val="003C0ADE"/>
    <w:rsid w:val="003C0B74"/>
    <w:rsid w:val="003C0DFF"/>
    <w:rsid w:val="003C0E2F"/>
    <w:rsid w:val="003C0E57"/>
    <w:rsid w:val="003C1733"/>
    <w:rsid w:val="003C1CC1"/>
    <w:rsid w:val="003C1D4A"/>
    <w:rsid w:val="003C2000"/>
    <w:rsid w:val="003C24C6"/>
    <w:rsid w:val="003C26D7"/>
    <w:rsid w:val="003C2725"/>
    <w:rsid w:val="003C2CED"/>
    <w:rsid w:val="003C2D96"/>
    <w:rsid w:val="003C3786"/>
    <w:rsid w:val="003C39F1"/>
    <w:rsid w:val="003C40F5"/>
    <w:rsid w:val="003C4231"/>
    <w:rsid w:val="003C434E"/>
    <w:rsid w:val="003C49C3"/>
    <w:rsid w:val="003C5937"/>
    <w:rsid w:val="003C5995"/>
    <w:rsid w:val="003C59B2"/>
    <w:rsid w:val="003C59C8"/>
    <w:rsid w:val="003C5C7E"/>
    <w:rsid w:val="003C6824"/>
    <w:rsid w:val="003C6931"/>
    <w:rsid w:val="003C743E"/>
    <w:rsid w:val="003C7457"/>
    <w:rsid w:val="003C7B26"/>
    <w:rsid w:val="003D05BD"/>
    <w:rsid w:val="003D0EF2"/>
    <w:rsid w:val="003D115A"/>
    <w:rsid w:val="003D11F6"/>
    <w:rsid w:val="003D1959"/>
    <w:rsid w:val="003D19A5"/>
    <w:rsid w:val="003D20D7"/>
    <w:rsid w:val="003D2CEC"/>
    <w:rsid w:val="003D30F4"/>
    <w:rsid w:val="003D32DA"/>
    <w:rsid w:val="003D38A1"/>
    <w:rsid w:val="003D3D02"/>
    <w:rsid w:val="003D3E76"/>
    <w:rsid w:val="003D44FF"/>
    <w:rsid w:val="003D4F5B"/>
    <w:rsid w:val="003D5208"/>
    <w:rsid w:val="003D594D"/>
    <w:rsid w:val="003D5969"/>
    <w:rsid w:val="003D5D13"/>
    <w:rsid w:val="003D5E2E"/>
    <w:rsid w:val="003D5FAB"/>
    <w:rsid w:val="003D61C2"/>
    <w:rsid w:val="003D689E"/>
    <w:rsid w:val="003D6CE0"/>
    <w:rsid w:val="003D743B"/>
    <w:rsid w:val="003D7955"/>
    <w:rsid w:val="003D7DF3"/>
    <w:rsid w:val="003E0452"/>
    <w:rsid w:val="003E13BD"/>
    <w:rsid w:val="003E15B2"/>
    <w:rsid w:val="003E1748"/>
    <w:rsid w:val="003E2561"/>
    <w:rsid w:val="003E291E"/>
    <w:rsid w:val="003E2997"/>
    <w:rsid w:val="003E31BC"/>
    <w:rsid w:val="003E3260"/>
    <w:rsid w:val="003E32FA"/>
    <w:rsid w:val="003E3780"/>
    <w:rsid w:val="003E3ABF"/>
    <w:rsid w:val="003E44BA"/>
    <w:rsid w:val="003E46CF"/>
    <w:rsid w:val="003E4D10"/>
    <w:rsid w:val="003E4E8E"/>
    <w:rsid w:val="003E52FA"/>
    <w:rsid w:val="003E576F"/>
    <w:rsid w:val="003E58D0"/>
    <w:rsid w:val="003E5CAC"/>
    <w:rsid w:val="003E6313"/>
    <w:rsid w:val="003E6669"/>
    <w:rsid w:val="003E68CC"/>
    <w:rsid w:val="003E6F67"/>
    <w:rsid w:val="003E7111"/>
    <w:rsid w:val="003E72C7"/>
    <w:rsid w:val="003E734E"/>
    <w:rsid w:val="003E739A"/>
    <w:rsid w:val="003E7605"/>
    <w:rsid w:val="003E7A8A"/>
    <w:rsid w:val="003E7BB4"/>
    <w:rsid w:val="003E7BC3"/>
    <w:rsid w:val="003E7FB2"/>
    <w:rsid w:val="003F0176"/>
    <w:rsid w:val="003F0618"/>
    <w:rsid w:val="003F17E3"/>
    <w:rsid w:val="003F1FDE"/>
    <w:rsid w:val="003F21F7"/>
    <w:rsid w:val="003F2579"/>
    <w:rsid w:val="003F2AD9"/>
    <w:rsid w:val="003F2BE4"/>
    <w:rsid w:val="003F315D"/>
    <w:rsid w:val="003F340F"/>
    <w:rsid w:val="003F37F1"/>
    <w:rsid w:val="003F381D"/>
    <w:rsid w:val="003F3A84"/>
    <w:rsid w:val="003F3D47"/>
    <w:rsid w:val="003F44C5"/>
    <w:rsid w:val="003F4818"/>
    <w:rsid w:val="003F4D0E"/>
    <w:rsid w:val="003F58DA"/>
    <w:rsid w:val="003F5C3C"/>
    <w:rsid w:val="003F62E0"/>
    <w:rsid w:val="003F643B"/>
    <w:rsid w:val="003F7ECB"/>
    <w:rsid w:val="003F7EE5"/>
    <w:rsid w:val="00400075"/>
    <w:rsid w:val="0040082D"/>
    <w:rsid w:val="00400F41"/>
    <w:rsid w:val="00400F52"/>
    <w:rsid w:val="0040121E"/>
    <w:rsid w:val="00401527"/>
    <w:rsid w:val="00401E8F"/>
    <w:rsid w:val="00403BA9"/>
    <w:rsid w:val="00403C53"/>
    <w:rsid w:val="00403E0E"/>
    <w:rsid w:val="00403E56"/>
    <w:rsid w:val="00404C99"/>
    <w:rsid w:val="00404D29"/>
    <w:rsid w:val="0040553B"/>
    <w:rsid w:val="00405611"/>
    <w:rsid w:val="00405E51"/>
    <w:rsid w:val="0040650C"/>
    <w:rsid w:val="00406656"/>
    <w:rsid w:val="004066CB"/>
    <w:rsid w:val="004068D1"/>
    <w:rsid w:val="00406A71"/>
    <w:rsid w:val="00407017"/>
    <w:rsid w:val="004070B8"/>
    <w:rsid w:val="004074BE"/>
    <w:rsid w:val="0040783F"/>
    <w:rsid w:val="00407979"/>
    <w:rsid w:val="00407DAB"/>
    <w:rsid w:val="00410117"/>
    <w:rsid w:val="00410BFC"/>
    <w:rsid w:val="00411402"/>
    <w:rsid w:val="00411600"/>
    <w:rsid w:val="0041243A"/>
    <w:rsid w:val="004125F4"/>
    <w:rsid w:val="004128CB"/>
    <w:rsid w:val="0041298B"/>
    <w:rsid w:val="00413086"/>
    <w:rsid w:val="00413182"/>
    <w:rsid w:val="0041329E"/>
    <w:rsid w:val="004137BC"/>
    <w:rsid w:val="004139FA"/>
    <w:rsid w:val="00413C69"/>
    <w:rsid w:val="0041419E"/>
    <w:rsid w:val="00414872"/>
    <w:rsid w:val="0041496F"/>
    <w:rsid w:val="004149BF"/>
    <w:rsid w:val="00415130"/>
    <w:rsid w:val="00415369"/>
    <w:rsid w:val="0041537B"/>
    <w:rsid w:val="0041564E"/>
    <w:rsid w:val="0041688A"/>
    <w:rsid w:val="00416D92"/>
    <w:rsid w:val="00416FD3"/>
    <w:rsid w:val="00417125"/>
    <w:rsid w:val="00420115"/>
    <w:rsid w:val="0042032D"/>
    <w:rsid w:val="00421EA0"/>
    <w:rsid w:val="00422AC2"/>
    <w:rsid w:val="00423093"/>
    <w:rsid w:val="0042398A"/>
    <w:rsid w:val="00423A45"/>
    <w:rsid w:val="00423C38"/>
    <w:rsid w:val="00424606"/>
    <w:rsid w:val="0042564B"/>
    <w:rsid w:val="004256E4"/>
    <w:rsid w:val="00426426"/>
    <w:rsid w:val="004266EF"/>
    <w:rsid w:val="00426A88"/>
    <w:rsid w:val="00426DAB"/>
    <w:rsid w:val="00426ECB"/>
    <w:rsid w:val="0042773E"/>
    <w:rsid w:val="00427B94"/>
    <w:rsid w:val="00427B96"/>
    <w:rsid w:val="004300F8"/>
    <w:rsid w:val="0043028D"/>
    <w:rsid w:val="004302F1"/>
    <w:rsid w:val="00430607"/>
    <w:rsid w:val="00430D5A"/>
    <w:rsid w:val="00430D92"/>
    <w:rsid w:val="00430F3C"/>
    <w:rsid w:val="00431049"/>
    <w:rsid w:val="004310B3"/>
    <w:rsid w:val="00431817"/>
    <w:rsid w:val="00431E4F"/>
    <w:rsid w:val="00431F42"/>
    <w:rsid w:val="00431F80"/>
    <w:rsid w:val="00432075"/>
    <w:rsid w:val="00432185"/>
    <w:rsid w:val="00432843"/>
    <w:rsid w:val="00432B90"/>
    <w:rsid w:val="0043306D"/>
    <w:rsid w:val="00433550"/>
    <w:rsid w:val="00433919"/>
    <w:rsid w:val="00433EEE"/>
    <w:rsid w:val="00434130"/>
    <w:rsid w:val="004343E2"/>
    <w:rsid w:val="0043453F"/>
    <w:rsid w:val="0043472A"/>
    <w:rsid w:val="00434C25"/>
    <w:rsid w:val="0043530D"/>
    <w:rsid w:val="00435AD3"/>
    <w:rsid w:val="00436758"/>
    <w:rsid w:val="00437062"/>
    <w:rsid w:val="0044086B"/>
    <w:rsid w:val="00440D29"/>
    <w:rsid w:val="00440D83"/>
    <w:rsid w:val="00440EB2"/>
    <w:rsid w:val="00440F12"/>
    <w:rsid w:val="004410AD"/>
    <w:rsid w:val="00441E29"/>
    <w:rsid w:val="00441F9B"/>
    <w:rsid w:val="00442264"/>
    <w:rsid w:val="004429B2"/>
    <w:rsid w:val="00443591"/>
    <w:rsid w:val="00444138"/>
    <w:rsid w:val="004444F4"/>
    <w:rsid w:val="004449D2"/>
    <w:rsid w:val="00444ACC"/>
    <w:rsid w:val="00444C06"/>
    <w:rsid w:val="00444F08"/>
    <w:rsid w:val="00444F11"/>
    <w:rsid w:val="00444F53"/>
    <w:rsid w:val="00445270"/>
    <w:rsid w:val="004455E5"/>
    <w:rsid w:val="0044563C"/>
    <w:rsid w:val="00445824"/>
    <w:rsid w:val="00445B6E"/>
    <w:rsid w:val="004462BE"/>
    <w:rsid w:val="00447A96"/>
    <w:rsid w:val="00447C4F"/>
    <w:rsid w:val="0045095A"/>
    <w:rsid w:val="00450FC0"/>
    <w:rsid w:val="004519B7"/>
    <w:rsid w:val="00452023"/>
    <w:rsid w:val="00452167"/>
    <w:rsid w:val="00452A13"/>
    <w:rsid w:val="00452B1C"/>
    <w:rsid w:val="00453996"/>
    <w:rsid w:val="00453ACB"/>
    <w:rsid w:val="00453DA9"/>
    <w:rsid w:val="00453E0D"/>
    <w:rsid w:val="00454429"/>
    <w:rsid w:val="004550DF"/>
    <w:rsid w:val="0045576F"/>
    <w:rsid w:val="004557BF"/>
    <w:rsid w:val="00455B6A"/>
    <w:rsid w:val="00455EAA"/>
    <w:rsid w:val="00456BE8"/>
    <w:rsid w:val="00456E52"/>
    <w:rsid w:val="00457171"/>
    <w:rsid w:val="004572DE"/>
    <w:rsid w:val="004575B5"/>
    <w:rsid w:val="00457CB4"/>
    <w:rsid w:val="00460FF8"/>
    <w:rsid w:val="004618BD"/>
    <w:rsid w:val="004618E0"/>
    <w:rsid w:val="0046235E"/>
    <w:rsid w:val="004625AF"/>
    <w:rsid w:val="00462A8E"/>
    <w:rsid w:val="00462D92"/>
    <w:rsid w:val="0046305A"/>
    <w:rsid w:val="0046308D"/>
    <w:rsid w:val="00463207"/>
    <w:rsid w:val="0046374A"/>
    <w:rsid w:val="00463D57"/>
    <w:rsid w:val="00463E79"/>
    <w:rsid w:val="004640D5"/>
    <w:rsid w:val="00464DE0"/>
    <w:rsid w:val="004650B6"/>
    <w:rsid w:val="00465152"/>
    <w:rsid w:val="004662EA"/>
    <w:rsid w:val="00466835"/>
    <w:rsid w:val="00466CA2"/>
    <w:rsid w:val="00466D04"/>
    <w:rsid w:val="00466F39"/>
    <w:rsid w:val="00467051"/>
    <w:rsid w:val="004675C5"/>
    <w:rsid w:val="00467C68"/>
    <w:rsid w:val="00467FD8"/>
    <w:rsid w:val="00467FF6"/>
    <w:rsid w:val="00470587"/>
    <w:rsid w:val="00470DED"/>
    <w:rsid w:val="0047119C"/>
    <w:rsid w:val="004713AD"/>
    <w:rsid w:val="004713B6"/>
    <w:rsid w:val="004714AC"/>
    <w:rsid w:val="004715EC"/>
    <w:rsid w:val="00471616"/>
    <w:rsid w:val="00471BA7"/>
    <w:rsid w:val="004722DE"/>
    <w:rsid w:val="00472682"/>
    <w:rsid w:val="0047281B"/>
    <w:rsid w:val="00472934"/>
    <w:rsid w:val="004729FD"/>
    <w:rsid w:val="0047306E"/>
    <w:rsid w:val="00473683"/>
    <w:rsid w:val="00473E38"/>
    <w:rsid w:val="004747C4"/>
    <w:rsid w:val="00474E4E"/>
    <w:rsid w:val="00474FB3"/>
    <w:rsid w:val="004750BD"/>
    <w:rsid w:val="00475FA8"/>
    <w:rsid w:val="00476377"/>
    <w:rsid w:val="00476440"/>
    <w:rsid w:val="0047655D"/>
    <w:rsid w:val="00476B6B"/>
    <w:rsid w:val="00476F29"/>
    <w:rsid w:val="004776F6"/>
    <w:rsid w:val="00477740"/>
    <w:rsid w:val="00477D91"/>
    <w:rsid w:val="00480456"/>
    <w:rsid w:val="00480510"/>
    <w:rsid w:val="00480835"/>
    <w:rsid w:val="004810C9"/>
    <w:rsid w:val="004816A7"/>
    <w:rsid w:val="00482134"/>
    <w:rsid w:val="00482250"/>
    <w:rsid w:val="004822E7"/>
    <w:rsid w:val="00482649"/>
    <w:rsid w:val="004826AE"/>
    <w:rsid w:val="00482790"/>
    <w:rsid w:val="004827FA"/>
    <w:rsid w:val="00482D57"/>
    <w:rsid w:val="00483548"/>
    <w:rsid w:val="00483B17"/>
    <w:rsid w:val="00483B69"/>
    <w:rsid w:val="004846CC"/>
    <w:rsid w:val="00484EC2"/>
    <w:rsid w:val="004858EF"/>
    <w:rsid w:val="0048643E"/>
    <w:rsid w:val="00487060"/>
    <w:rsid w:val="00487456"/>
    <w:rsid w:val="00487827"/>
    <w:rsid w:val="004900DB"/>
    <w:rsid w:val="00490F9F"/>
    <w:rsid w:val="00491681"/>
    <w:rsid w:val="00491F6E"/>
    <w:rsid w:val="00492C2C"/>
    <w:rsid w:val="00493234"/>
    <w:rsid w:val="00493611"/>
    <w:rsid w:val="0049369C"/>
    <w:rsid w:val="00493C84"/>
    <w:rsid w:val="00493D9B"/>
    <w:rsid w:val="00493DBB"/>
    <w:rsid w:val="0049458B"/>
    <w:rsid w:val="004946D2"/>
    <w:rsid w:val="00495363"/>
    <w:rsid w:val="004953EB"/>
    <w:rsid w:val="00495B18"/>
    <w:rsid w:val="00495C0B"/>
    <w:rsid w:val="00495D7E"/>
    <w:rsid w:val="00496244"/>
    <w:rsid w:val="004966DE"/>
    <w:rsid w:val="00496786"/>
    <w:rsid w:val="004967ED"/>
    <w:rsid w:val="00496B43"/>
    <w:rsid w:val="00496E2B"/>
    <w:rsid w:val="0049701A"/>
    <w:rsid w:val="004977A5"/>
    <w:rsid w:val="0049788B"/>
    <w:rsid w:val="004A00B5"/>
    <w:rsid w:val="004A0122"/>
    <w:rsid w:val="004A03AA"/>
    <w:rsid w:val="004A0422"/>
    <w:rsid w:val="004A0854"/>
    <w:rsid w:val="004A118B"/>
    <w:rsid w:val="004A13D0"/>
    <w:rsid w:val="004A2176"/>
    <w:rsid w:val="004A2254"/>
    <w:rsid w:val="004A262C"/>
    <w:rsid w:val="004A2DDA"/>
    <w:rsid w:val="004A3431"/>
    <w:rsid w:val="004A4174"/>
    <w:rsid w:val="004A4285"/>
    <w:rsid w:val="004A42FF"/>
    <w:rsid w:val="004A43FE"/>
    <w:rsid w:val="004A4DBF"/>
    <w:rsid w:val="004A5B59"/>
    <w:rsid w:val="004A5C2F"/>
    <w:rsid w:val="004A6439"/>
    <w:rsid w:val="004A7569"/>
    <w:rsid w:val="004A794E"/>
    <w:rsid w:val="004B052F"/>
    <w:rsid w:val="004B0791"/>
    <w:rsid w:val="004B08F0"/>
    <w:rsid w:val="004B0D96"/>
    <w:rsid w:val="004B0FBF"/>
    <w:rsid w:val="004B108E"/>
    <w:rsid w:val="004B1F71"/>
    <w:rsid w:val="004B24BE"/>
    <w:rsid w:val="004B27B5"/>
    <w:rsid w:val="004B312D"/>
    <w:rsid w:val="004B3992"/>
    <w:rsid w:val="004B3CAF"/>
    <w:rsid w:val="004B40A4"/>
    <w:rsid w:val="004B488F"/>
    <w:rsid w:val="004B4BE3"/>
    <w:rsid w:val="004B699F"/>
    <w:rsid w:val="004B6B4B"/>
    <w:rsid w:val="004B6B87"/>
    <w:rsid w:val="004B706D"/>
    <w:rsid w:val="004C0752"/>
    <w:rsid w:val="004C0A5E"/>
    <w:rsid w:val="004C1253"/>
    <w:rsid w:val="004C147E"/>
    <w:rsid w:val="004C21C5"/>
    <w:rsid w:val="004C24E3"/>
    <w:rsid w:val="004C2D0B"/>
    <w:rsid w:val="004C3BFC"/>
    <w:rsid w:val="004C3D4C"/>
    <w:rsid w:val="004C42E1"/>
    <w:rsid w:val="004C45AC"/>
    <w:rsid w:val="004C4A51"/>
    <w:rsid w:val="004C4CD6"/>
    <w:rsid w:val="004C4E94"/>
    <w:rsid w:val="004C5026"/>
    <w:rsid w:val="004C569F"/>
    <w:rsid w:val="004C5A31"/>
    <w:rsid w:val="004C5EEC"/>
    <w:rsid w:val="004C6101"/>
    <w:rsid w:val="004C6572"/>
    <w:rsid w:val="004C6860"/>
    <w:rsid w:val="004C6C9E"/>
    <w:rsid w:val="004C722F"/>
    <w:rsid w:val="004C792B"/>
    <w:rsid w:val="004C79ED"/>
    <w:rsid w:val="004D06A5"/>
    <w:rsid w:val="004D08AA"/>
    <w:rsid w:val="004D0D62"/>
    <w:rsid w:val="004D1335"/>
    <w:rsid w:val="004D169A"/>
    <w:rsid w:val="004D18D7"/>
    <w:rsid w:val="004D1D81"/>
    <w:rsid w:val="004D240C"/>
    <w:rsid w:val="004D2516"/>
    <w:rsid w:val="004D3332"/>
    <w:rsid w:val="004D34C7"/>
    <w:rsid w:val="004D3846"/>
    <w:rsid w:val="004D433B"/>
    <w:rsid w:val="004D43C0"/>
    <w:rsid w:val="004D4E1B"/>
    <w:rsid w:val="004D525D"/>
    <w:rsid w:val="004D53E5"/>
    <w:rsid w:val="004D543C"/>
    <w:rsid w:val="004D54C8"/>
    <w:rsid w:val="004D587A"/>
    <w:rsid w:val="004D5F1B"/>
    <w:rsid w:val="004D5FCF"/>
    <w:rsid w:val="004D6121"/>
    <w:rsid w:val="004D63D9"/>
    <w:rsid w:val="004D6E8A"/>
    <w:rsid w:val="004D71DE"/>
    <w:rsid w:val="004D7E96"/>
    <w:rsid w:val="004E03AD"/>
    <w:rsid w:val="004E08B2"/>
    <w:rsid w:val="004E0BD2"/>
    <w:rsid w:val="004E0C07"/>
    <w:rsid w:val="004E1075"/>
    <w:rsid w:val="004E1953"/>
    <w:rsid w:val="004E2875"/>
    <w:rsid w:val="004E2970"/>
    <w:rsid w:val="004E2DD1"/>
    <w:rsid w:val="004E3206"/>
    <w:rsid w:val="004E334D"/>
    <w:rsid w:val="004E3615"/>
    <w:rsid w:val="004E3766"/>
    <w:rsid w:val="004E3EEA"/>
    <w:rsid w:val="004E3FD6"/>
    <w:rsid w:val="004E4146"/>
    <w:rsid w:val="004E4600"/>
    <w:rsid w:val="004E47AA"/>
    <w:rsid w:val="004E4AA2"/>
    <w:rsid w:val="004E4ED7"/>
    <w:rsid w:val="004E4FF2"/>
    <w:rsid w:val="004E515E"/>
    <w:rsid w:val="004E54DE"/>
    <w:rsid w:val="004E5509"/>
    <w:rsid w:val="004E57FE"/>
    <w:rsid w:val="004E581E"/>
    <w:rsid w:val="004E5998"/>
    <w:rsid w:val="004E5F32"/>
    <w:rsid w:val="004E61D5"/>
    <w:rsid w:val="004E61ED"/>
    <w:rsid w:val="004E626E"/>
    <w:rsid w:val="004E69B5"/>
    <w:rsid w:val="004E6C82"/>
    <w:rsid w:val="004E6E1D"/>
    <w:rsid w:val="004E6E5A"/>
    <w:rsid w:val="004E70AD"/>
    <w:rsid w:val="004E713C"/>
    <w:rsid w:val="004E7885"/>
    <w:rsid w:val="004E7AFB"/>
    <w:rsid w:val="004E7B4B"/>
    <w:rsid w:val="004E7BDD"/>
    <w:rsid w:val="004E7E1D"/>
    <w:rsid w:val="004F03FE"/>
    <w:rsid w:val="004F045F"/>
    <w:rsid w:val="004F0575"/>
    <w:rsid w:val="004F08FD"/>
    <w:rsid w:val="004F27B2"/>
    <w:rsid w:val="004F31B9"/>
    <w:rsid w:val="004F36A8"/>
    <w:rsid w:val="004F38E5"/>
    <w:rsid w:val="004F414C"/>
    <w:rsid w:val="004F461F"/>
    <w:rsid w:val="004F4789"/>
    <w:rsid w:val="004F4BE4"/>
    <w:rsid w:val="004F58D4"/>
    <w:rsid w:val="004F5A11"/>
    <w:rsid w:val="004F6BD4"/>
    <w:rsid w:val="004F6C54"/>
    <w:rsid w:val="004F6F5D"/>
    <w:rsid w:val="004F7028"/>
    <w:rsid w:val="004F703F"/>
    <w:rsid w:val="004F7326"/>
    <w:rsid w:val="004F73D9"/>
    <w:rsid w:val="004F79F9"/>
    <w:rsid w:val="004F7EB1"/>
    <w:rsid w:val="0050029C"/>
    <w:rsid w:val="0050055B"/>
    <w:rsid w:val="00500651"/>
    <w:rsid w:val="00500A14"/>
    <w:rsid w:val="00500BDD"/>
    <w:rsid w:val="005012F4"/>
    <w:rsid w:val="005012F6"/>
    <w:rsid w:val="00501D00"/>
    <w:rsid w:val="005023C3"/>
    <w:rsid w:val="00502486"/>
    <w:rsid w:val="0050256E"/>
    <w:rsid w:val="00502671"/>
    <w:rsid w:val="00502F60"/>
    <w:rsid w:val="00502FD5"/>
    <w:rsid w:val="0050326C"/>
    <w:rsid w:val="005032D9"/>
    <w:rsid w:val="0050351F"/>
    <w:rsid w:val="0050367A"/>
    <w:rsid w:val="0050369F"/>
    <w:rsid w:val="0050374C"/>
    <w:rsid w:val="005048DB"/>
    <w:rsid w:val="00504F28"/>
    <w:rsid w:val="005053D9"/>
    <w:rsid w:val="005061A6"/>
    <w:rsid w:val="00506231"/>
    <w:rsid w:val="00506473"/>
    <w:rsid w:val="00506521"/>
    <w:rsid w:val="00506AB2"/>
    <w:rsid w:val="00506B58"/>
    <w:rsid w:val="00507482"/>
    <w:rsid w:val="0050788A"/>
    <w:rsid w:val="00507EA7"/>
    <w:rsid w:val="00510665"/>
    <w:rsid w:val="00510DE3"/>
    <w:rsid w:val="00510FD3"/>
    <w:rsid w:val="0051102F"/>
    <w:rsid w:val="0051133F"/>
    <w:rsid w:val="00511E3A"/>
    <w:rsid w:val="00513226"/>
    <w:rsid w:val="00514264"/>
    <w:rsid w:val="00514821"/>
    <w:rsid w:val="00514F18"/>
    <w:rsid w:val="00515ACE"/>
    <w:rsid w:val="00516584"/>
    <w:rsid w:val="00516A3C"/>
    <w:rsid w:val="005172A4"/>
    <w:rsid w:val="0051758A"/>
    <w:rsid w:val="00517C46"/>
    <w:rsid w:val="00517D26"/>
    <w:rsid w:val="00517D7C"/>
    <w:rsid w:val="00517E83"/>
    <w:rsid w:val="005201AC"/>
    <w:rsid w:val="005206B7"/>
    <w:rsid w:val="00520703"/>
    <w:rsid w:val="00520927"/>
    <w:rsid w:val="00520E8F"/>
    <w:rsid w:val="0052134E"/>
    <w:rsid w:val="005214B8"/>
    <w:rsid w:val="00521FDC"/>
    <w:rsid w:val="00522410"/>
    <w:rsid w:val="0052249A"/>
    <w:rsid w:val="005228B7"/>
    <w:rsid w:val="00522E71"/>
    <w:rsid w:val="005236AC"/>
    <w:rsid w:val="005236C9"/>
    <w:rsid w:val="005237DE"/>
    <w:rsid w:val="00523B1F"/>
    <w:rsid w:val="00523C54"/>
    <w:rsid w:val="00523E59"/>
    <w:rsid w:val="00524167"/>
    <w:rsid w:val="005247B8"/>
    <w:rsid w:val="00524E35"/>
    <w:rsid w:val="00524E6C"/>
    <w:rsid w:val="00525116"/>
    <w:rsid w:val="0052522D"/>
    <w:rsid w:val="005254A5"/>
    <w:rsid w:val="00525791"/>
    <w:rsid w:val="0052582A"/>
    <w:rsid w:val="00525D7B"/>
    <w:rsid w:val="00525EF8"/>
    <w:rsid w:val="005265CC"/>
    <w:rsid w:val="00526808"/>
    <w:rsid w:val="00526BB9"/>
    <w:rsid w:val="005272B0"/>
    <w:rsid w:val="0052749C"/>
    <w:rsid w:val="0053073E"/>
    <w:rsid w:val="00531599"/>
    <w:rsid w:val="005316E8"/>
    <w:rsid w:val="0053276E"/>
    <w:rsid w:val="00532823"/>
    <w:rsid w:val="00532C1B"/>
    <w:rsid w:val="00532D86"/>
    <w:rsid w:val="0053319D"/>
    <w:rsid w:val="00533C85"/>
    <w:rsid w:val="00533CAC"/>
    <w:rsid w:val="00534084"/>
    <w:rsid w:val="00534232"/>
    <w:rsid w:val="0053426C"/>
    <w:rsid w:val="005345EC"/>
    <w:rsid w:val="005359B6"/>
    <w:rsid w:val="00535BFE"/>
    <w:rsid w:val="00535CFA"/>
    <w:rsid w:val="00535DB9"/>
    <w:rsid w:val="005363F1"/>
    <w:rsid w:val="00536588"/>
    <w:rsid w:val="00537A9F"/>
    <w:rsid w:val="00537C9F"/>
    <w:rsid w:val="00537E52"/>
    <w:rsid w:val="0054013C"/>
    <w:rsid w:val="00540158"/>
    <w:rsid w:val="005407C9"/>
    <w:rsid w:val="005408F4"/>
    <w:rsid w:val="00540A26"/>
    <w:rsid w:val="00541964"/>
    <w:rsid w:val="005419A2"/>
    <w:rsid w:val="00541B37"/>
    <w:rsid w:val="00541B3A"/>
    <w:rsid w:val="0054272C"/>
    <w:rsid w:val="005429C1"/>
    <w:rsid w:val="005430DD"/>
    <w:rsid w:val="005433B6"/>
    <w:rsid w:val="005438BF"/>
    <w:rsid w:val="00543AFF"/>
    <w:rsid w:val="00543CDD"/>
    <w:rsid w:val="00543DBB"/>
    <w:rsid w:val="005446CB"/>
    <w:rsid w:val="00544ADC"/>
    <w:rsid w:val="00544C24"/>
    <w:rsid w:val="005451AD"/>
    <w:rsid w:val="005460AB"/>
    <w:rsid w:val="00546949"/>
    <w:rsid w:val="00546D5D"/>
    <w:rsid w:val="00546E42"/>
    <w:rsid w:val="00547672"/>
    <w:rsid w:val="0055000A"/>
    <w:rsid w:val="005503E7"/>
    <w:rsid w:val="00550DAC"/>
    <w:rsid w:val="00550DDA"/>
    <w:rsid w:val="005512E1"/>
    <w:rsid w:val="00551C0F"/>
    <w:rsid w:val="00551D62"/>
    <w:rsid w:val="00551D67"/>
    <w:rsid w:val="00551E01"/>
    <w:rsid w:val="00551E32"/>
    <w:rsid w:val="00552D9C"/>
    <w:rsid w:val="00552FD5"/>
    <w:rsid w:val="005531BE"/>
    <w:rsid w:val="005538EB"/>
    <w:rsid w:val="00554B5D"/>
    <w:rsid w:val="00555677"/>
    <w:rsid w:val="00555A9B"/>
    <w:rsid w:val="00555F9C"/>
    <w:rsid w:val="005563DB"/>
    <w:rsid w:val="005566A1"/>
    <w:rsid w:val="005566AF"/>
    <w:rsid w:val="005566F9"/>
    <w:rsid w:val="0055680F"/>
    <w:rsid w:val="005568BB"/>
    <w:rsid w:val="00556DB2"/>
    <w:rsid w:val="005571BF"/>
    <w:rsid w:val="00557C4E"/>
    <w:rsid w:val="00557E83"/>
    <w:rsid w:val="0056011B"/>
    <w:rsid w:val="005602F6"/>
    <w:rsid w:val="005605A9"/>
    <w:rsid w:val="005609A0"/>
    <w:rsid w:val="00560A56"/>
    <w:rsid w:val="00561163"/>
    <w:rsid w:val="00561631"/>
    <w:rsid w:val="00561A49"/>
    <w:rsid w:val="00561AE3"/>
    <w:rsid w:val="00562CCC"/>
    <w:rsid w:val="00562E2D"/>
    <w:rsid w:val="005631C4"/>
    <w:rsid w:val="00563A78"/>
    <w:rsid w:val="00563F96"/>
    <w:rsid w:val="0056432E"/>
    <w:rsid w:val="00564469"/>
    <w:rsid w:val="005647A5"/>
    <w:rsid w:val="005651B2"/>
    <w:rsid w:val="00565771"/>
    <w:rsid w:val="005657A7"/>
    <w:rsid w:val="00565CBB"/>
    <w:rsid w:val="00565F39"/>
    <w:rsid w:val="00566583"/>
    <w:rsid w:val="005667A2"/>
    <w:rsid w:val="00566C3A"/>
    <w:rsid w:val="0056700D"/>
    <w:rsid w:val="005672C8"/>
    <w:rsid w:val="0057055D"/>
    <w:rsid w:val="00570CF6"/>
    <w:rsid w:val="00571007"/>
    <w:rsid w:val="005710D4"/>
    <w:rsid w:val="00571379"/>
    <w:rsid w:val="005714EC"/>
    <w:rsid w:val="00571CB4"/>
    <w:rsid w:val="00571F9C"/>
    <w:rsid w:val="00571FB8"/>
    <w:rsid w:val="005720DC"/>
    <w:rsid w:val="0057296F"/>
    <w:rsid w:val="00572A19"/>
    <w:rsid w:val="00572BB3"/>
    <w:rsid w:val="00572BE2"/>
    <w:rsid w:val="005730F4"/>
    <w:rsid w:val="00573106"/>
    <w:rsid w:val="0057346A"/>
    <w:rsid w:val="005734E5"/>
    <w:rsid w:val="00573644"/>
    <w:rsid w:val="005737DD"/>
    <w:rsid w:val="00573A36"/>
    <w:rsid w:val="00573A79"/>
    <w:rsid w:val="00573DB4"/>
    <w:rsid w:val="00573EBA"/>
    <w:rsid w:val="00574161"/>
    <w:rsid w:val="005748B8"/>
    <w:rsid w:val="0057491F"/>
    <w:rsid w:val="00574A3D"/>
    <w:rsid w:val="00574EEB"/>
    <w:rsid w:val="0057513D"/>
    <w:rsid w:val="00575A26"/>
    <w:rsid w:val="0057647C"/>
    <w:rsid w:val="005767A7"/>
    <w:rsid w:val="00576CDC"/>
    <w:rsid w:val="00576ED2"/>
    <w:rsid w:val="005774EC"/>
    <w:rsid w:val="005776BC"/>
    <w:rsid w:val="005777FF"/>
    <w:rsid w:val="00577E96"/>
    <w:rsid w:val="00577EE4"/>
    <w:rsid w:val="00580867"/>
    <w:rsid w:val="005808C4"/>
    <w:rsid w:val="005809B3"/>
    <w:rsid w:val="005810D4"/>
    <w:rsid w:val="0058123C"/>
    <w:rsid w:val="0058137F"/>
    <w:rsid w:val="00581DF3"/>
    <w:rsid w:val="00582A92"/>
    <w:rsid w:val="00582AF1"/>
    <w:rsid w:val="00582F5B"/>
    <w:rsid w:val="00583940"/>
    <w:rsid w:val="00583A7E"/>
    <w:rsid w:val="00583DE2"/>
    <w:rsid w:val="0058425F"/>
    <w:rsid w:val="0058447A"/>
    <w:rsid w:val="00584CB9"/>
    <w:rsid w:val="00584E8C"/>
    <w:rsid w:val="005854C7"/>
    <w:rsid w:val="00585640"/>
    <w:rsid w:val="0058595F"/>
    <w:rsid w:val="00585D8F"/>
    <w:rsid w:val="00586347"/>
    <w:rsid w:val="0058693D"/>
    <w:rsid w:val="00586FAE"/>
    <w:rsid w:val="005874E1"/>
    <w:rsid w:val="00587ACB"/>
    <w:rsid w:val="005903AE"/>
    <w:rsid w:val="00590A2E"/>
    <w:rsid w:val="005912DD"/>
    <w:rsid w:val="00591552"/>
    <w:rsid w:val="00591E22"/>
    <w:rsid w:val="00591F30"/>
    <w:rsid w:val="005923EA"/>
    <w:rsid w:val="00592A58"/>
    <w:rsid w:val="00592A7F"/>
    <w:rsid w:val="00592ABC"/>
    <w:rsid w:val="00592BEE"/>
    <w:rsid w:val="00592C85"/>
    <w:rsid w:val="00592D04"/>
    <w:rsid w:val="00592FE9"/>
    <w:rsid w:val="005930B2"/>
    <w:rsid w:val="0059347E"/>
    <w:rsid w:val="005939A5"/>
    <w:rsid w:val="0059409F"/>
    <w:rsid w:val="0059413C"/>
    <w:rsid w:val="00594615"/>
    <w:rsid w:val="00594B87"/>
    <w:rsid w:val="005953E0"/>
    <w:rsid w:val="005953F1"/>
    <w:rsid w:val="005956AF"/>
    <w:rsid w:val="00595ABC"/>
    <w:rsid w:val="00595CA7"/>
    <w:rsid w:val="00595EAA"/>
    <w:rsid w:val="0059610B"/>
    <w:rsid w:val="00596326"/>
    <w:rsid w:val="0059789C"/>
    <w:rsid w:val="005978A5"/>
    <w:rsid w:val="005979DC"/>
    <w:rsid w:val="00597D2B"/>
    <w:rsid w:val="00597E0A"/>
    <w:rsid w:val="005A052F"/>
    <w:rsid w:val="005A064E"/>
    <w:rsid w:val="005A07DA"/>
    <w:rsid w:val="005A0A60"/>
    <w:rsid w:val="005A0A76"/>
    <w:rsid w:val="005A0CA1"/>
    <w:rsid w:val="005A1028"/>
    <w:rsid w:val="005A1335"/>
    <w:rsid w:val="005A13AB"/>
    <w:rsid w:val="005A19F6"/>
    <w:rsid w:val="005A1B58"/>
    <w:rsid w:val="005A1F0F"/>
    <w:rsid w:val="005A2056"/>
    <w:rsid w:val="005A2688"/>
    <w:rsid w:val="005A2CD4"/>
    <w:rsid w:val="005A2E71"/>
    <w:rsid w:val="005A4204"/>
    <w:rsid w:val="005A4B2A"/>
    <w:rsid w:val="005A58EC"/>
    <w:rsid w:val="005A6772"/>
    <w:rsid w:val="005A6F7F"/>
    <w:rsid w:val="005A7219"/>
    <w:rsid w:val="005A7240"/>
    <w:rsid w:val="005A72AA"/>
    <w:rsid w:val="005A7342"/>
    <w:rsid w:val="005A7DDD"/>
    <w:rsid w:val="005B1861"/>
    <w:rsid w:val="005B26DE"/>
    <w:rsid w:val="005B284A"/>
    <w:rsid w:val="005B2D9C"/>
    <w:rsid w:val="005B2DDB"/>
    <w:rsid w:val="005B394D"/>
    <w:rsid w:val="005B3E02"/>
    <w:rsid w:val="005B4149"/>
    <w:rsid w:val="005B4265"/>
    <w:rsid w:val="005B45DB"/>
    <w:rsid w:val="005B4B3B"/>
    <w:rsid w:val="005B4C4D"/>
    <w:rsid w:val="005B51A7"/>
    <w:rsid w:val="005B532A"/>
    <w:rsid w:val="005B54BB"/>
    <w:rsid w:val="005B5C16"/>
    <w:rsid w:val="005B60EE"/>
    <w:rsid w:val="005B6868"/>
    <w:rsid w:val="005B6AAD"/>
    <w:rsid w:val="005B6E0E"/>
    <w:rsid w:val="005B7059"/>
    <w:rsid w:val="005B7201"/>
    <w:rsid w:val="005B7493"/>
    <w:rsid w:val="005B7EE6"/>
    <w:rsid w:val="005B7F16"/>
    <w:rsid w:val="005B7F6B"/>
    <w:rsid w:val="005C0425"/>
    <w:rsid w:val="005C05AE"/>
    <w:rsid w:val="005C10E1"/>
    <w:rsid w:val="005C1441"/>
    <w:rsid w:val="005C187C"/>
    <w:rsid w:val="005C1984"/>
    <w:rsid w:val="005C1E6B"/>
    <w:rsid w:val="005C2B02"/>
    <w:rsid w:val="005C2F7B"/>
    <w:rsid w:val="005C2F8C"/>
    <w:rsid w:val="005C34DF"/>
    <w:rsid w:val="005C3AEA"/>
    <w:rsid w:val="005C3E3C"/>
    <w:rsid w:val="005C425A"/>
    <w:rsid w:val="005C4431"/>
    <w:rsid w:val="005C456C"/>
    <w:rsid w:val="005C5B6F"/>
    <w:rsid w:val="005C5BB1"/>
    <w:rsid w:val="005C5CE2"/>
    <w:rsid w:val="005C7B5A"/>
    <w:rsid w:val="005C7DFB"/>
    <w:rsid w:val="005C7F4F"/>
    <w:rsid w:val="005D0307"/>
    <w:rsid w:val="005D04B3"/>
    <w:rsid w:val="005D0832"/>
    <w:rsid w:val="005D093D"/>
    <w:rsid w:val="005D0DD8"/>
    <w:rsid w:val="005D0E3E"/>
    <w:rsid w:val="005D0E84"/>
    <w:rsid w:val="005D1969"/>
    <w:rsid w:val="005D19A5"/>
    <w:rsid w:val="005D1E03"/>
    <w:rsid w:val="005D1F64"/>
    <w:rsid w:val="005D232A"/>
    <w:rsid w:val="005D23D6"/>
    <w:rsid w:val="005D2739"/>
    <w:rsid w:val="005D2C39"/>
    <w:rsid w:val="005D2EBA"/>
    <w:rsid w:val="005D3309"/>
    <w:rsid w:val="005D3BFE"/>
    <w:rsid w:val="005D3FE8"/>
    <w:rsid w:val="005D43F7"/>
    <w:rsid w:val="005D4694"/>
    <w:rsid w:val="005D4E76"/>
    <w:rsid w:val="005D51DF"/>
    <w:rsid w:val="005D5328"/>
    <w:rsid w:val="005D54A1"/>
    <w:rsid w:val="005D5612"/>
    <w:rsid w:val="005D617B"/>
    <w:rsid w:val="005D62FD"/>
    <w:rsid w:val="005D6857"/>
    <w:rsid w:val="005D6D9C"/>
    <w:rsid w:val="005D6E28"/>
    <w:rsid w:val="005D73C3"/>
    <w:rsid w:val="005D79B5"/>
    <w:rsid w:val="005E0248"/>
    <w:rsid w:val="005E1497"/>
    <w:rsid w:val="005E21CB"/>
    <w:rsid w:val="005E2253"/>
    <w:rsid w:val="005E27D2"/>
    <w:rsid w:val="005E2F45"/>
    <w:rsid w:val="005E31FC"/>
    <w:rsid w:val="005E3288"/>
    <w:rsid w:val="005E3686"/>
    <w:rsid w:val="005E3FB3"/>
    <w:rsid w:val="005E4014"/>
    <w:rsid w:val="005E42B1"/>
    <w:rsid w:val="005E44CE"/>
    <w:rsid w:val="005E459E"/>
    <w:rsid w:val="005E4608"/>
    <w:rsid w:val="005E46FD"/>
    <w:rsid w:val="005E4BDA"/>
    <w:rsid w:val="005E4F8D"/>
    <w:rsid w:val="005E509C"/>
    <w:rsid w:val="005E530F"/>
    <w:rsid w:val="005E5416"/>
    <w:rsid w:val="005E5A76"/>
    <w:rsid w:val="005E623F"/>
    <w:rsid w:val="005E636E"/>
    <w:rsid w:val="005E6410"/>
    <w:rsid w:val="005E6EA6"/>
    <w:rsid w:val="005F0164"/>
    <w:rsid w:val="005F0866"/>
    <w:rsid w:val="005F09E8"/>
    <w:rsid w:val="005F0FA9"/>
    <w:rsid w:val="005F1098"/>
    <w:rsid w:val="005F1676"/>
    <w:rsid w:val="005F1C91"/>
    <w:rsid w:val="005F1C9D"/>
    <w:rsid w:val="005F1DA1"/>
    <w:rsid w:val="005F2646"/>
    <w:rsid w:val="005F3373"/>
    <w:rsid w:val="005F3791"/>
    <w:rsid w:val="005F37AB"/>
    <w:rsid w:val="005F3AB1"/>
    <w:rsid w:val="005F3D25"/>
    <w:rsid w:val="005F4530"/>
    <w:rsid w:val="005F4614"/>
    <w:rsid w:val="005F4D2E"/>
    <w:rsid w:val="005F4EEE"/>
    <w:rsid w:val="005F5174"/>
    <w:rsid w:val="005F518C"/>
    <w:rsid w:val="005F55D7"/>
    <w:rsid w:val="005F5EFF"/>
    <w:rsid w:val="005F5F6F"/>
    <w:rsid w:val="005F6121"/>
    <w:rsid w:val="005F641E"/>
    <w:rsid w:val="005F65A9"/>
    <w:rsid w:val="005F6823"/>
    <w:rsid w:val="005F6880"/>
    <w:rsid w:val="005F6A55"/>
    <w:rsid w:val="005F7A51"/>
    <w:rsid w:val="00600770"/>
    <w:rsid w:val="0060082F"/>
    <w:rsid w:val="00600A2D"/>
    <w:rsid w:val="0060123C"/>
    <w:rsid w:val="006013F9"/>
    <w:rsid w:val="00601834"/>
    <w:rsid w:val="00601CFD"/>
    <w:rsid w:val="00602224"/>
    <w:rsid w:val="00602759"/>
    <w:rsid w:val="00602CFA"/>
    <w:rsid w:val="00603490"/>
    <w:rsid w:val="00603E97"/>
    <w:rsid w:val="006042D8"/>
    <w:rsid w:val="0060448C"/>
    <w:rsid w:val="00604999"/>
    <w:rsid w:val="00604AE0"/>
    <w:rsid w:val="00604AFA"/>
    <w:rsid w:val="00604C18"/>
    <w:rsid w:val="00604E2D"/>
    <w:rsid w:val="00605214"/>
    <w:rsid w:val="00605708"/>
    <w:rsid w:val="006058F2"/>
    <w:rsid w:val="00605E39"/>
    <w:rsid w:val="00606190"/>
    <w:rsid w:val="00606796"/>
    <w:rsid w:val="00606E37"/>
    <w:rsid w:val="0060727E"/>
    <w:rsid w:val="006076B0"/>
    <w:rsid w:val="00610401"/>
    <w:rsid w:val="00610656"/>
    <w:rsid w:val="00610804"/>
    <w:rsid w:val="0061092F"/>
    <w:rsid w:val="006111BE"/>
    <w:rsid w:val="00611411"/>
    <w:rsid w:val="006115E4"/>
    <w:rsid w:val="0061179E"/>
    <w:rsid w:val="00612A7B"/>
    <w:rsid w:val="00612F42"/>
    <w:rsid w:val="00613608"/>
    <w:rsid w:val="00613EC4"/>
    <w:rsid w:val="00614DD2"/>
    <w:rsid w:val="006151C3"/>
    <w:rsid w:val="006152B7"/>
    <w:rsid w:val="00615650"/>
    <w:rsid w:val="006164A0"/>
    <w:rsid w:val="0061663F"/>
    <w:rsid w:val="006169CD"/>
    <w:rsid w:val="00616CF6"/>
    <w:rsid w:val="00616FBC"/>
    <w:rsid w:val="006201BA"/>
    <w:rsid w:val="006206DA"/>
    <w:rsid w:val="00620A11"/>
    <w:rsid w:val="00620AB7"/>
    <w:rsid w:val="00621042"/>
    <w:rsid w:val="0062177E"/>
    <w:rsid w:val="00621E4C"/>
    <w:rsid w:val="006223E1"/>
    <w:rsid w:val="00623536"/>
    <w:rsid w:val="00623C84"/>
    <w:rsid w:val="00624400"/>
    <w:rsid w:val="006248C3"/>
    <w:rsid w:val="00624CDD"/>
    <w:rsid w:val="00625BD3"/>
    <w:rsid w:val="00626523"/>
    <w:rsid w:val="0062709D"/>
    <w:rsid w:val="006271B8"/>
    <w:rsid w:val="00627E0A"/>
    <w:rsid w:val="006304D9"/>
    <w:rsid w:val="00630CED"/>
    <w:rsid w:val="00631151"/>
    <w:rsid w:val="00631C32"/>
    <w:rsid w:val="006332B3"/>
    <w:rsid w:val="00633B61"/>
    <w:rsid w:val="00633C04"/>
    <w:rsid w:val="00634019"/>
    <w:rsid w:val="00634B8A"/>
    <w:rsid w:val="00634C7C"/>
    <w:rsid w:val="00635126"/>
    <w:rsid w:val="00636294"/>
    <w:rsid w:val="006367F8"/>
    <w:rsid w:val="00636872"/>
    <w:rsid w:val="00636971"/>
    <w:rsid w:val="006369FD"/>
    <w:rsid w:val="006371EB"/>
    <w:rsid w:val="00637338"/>
    <w:rsid w:val="00637831"/>
    <w:rsid w:val="00640039"/>
    <w:rsid w:val="00640288"/>
    <w:rsid w:val="006403BD"/>
    <w:rsid w:val="00640AB4"/>
    <w:rsid w:val="00641EC9"/>
    <w:rsid w:val="00641F83"/>
    <w:rsid w:val="006424A2"/>
    <w:rsid w:val="00642760"/>
    <w:rsid w:val="006427EA"/>
    <w:rsid w:val="00643186"/>
    <w:rsid w:val="00643411"/>
    <w:rsid w:val="006439AC"/>
    <w:rsid w:val="00643A08"/>
    <w:rsid w:val="0064416B"/>
    <w:rsid w:val="006441A8"/>
    <w:rsid w:val="006444C4"/>
    <w:rsid w:val="006465B9"/>
    <w:rsid w:val="00646707"/>
    <w:rsid w:val="00646EA0"/>
    <w:rsid w:val="00646F73"/>
    <w:rsid w:val="006471CF"/>
    <w:rsid w:val="00647590"/>
    <w:rsid w:val="00647679"/>
    <w:rsid w:val="00647D1E"/>
    <w:rsid w:val="006503A6"/>
    <w:rsid w:val="0065040B"/>
    <w:rsid w:val="006504BC"/>
    <w:rsid w:val="00650980"/>
    <w:rsid w:val="006510C5"/>
    <w:rsid w:val="006510D7"/>
    <w:rsid w:val="00651107"/>
    <w:rsid w:val="00651A04"/>
    <w:rsid w:val="00651AAD"/>
    <w:rsid w:val="00651B20"/>
    <w:rsid w:val="00652051"/>
    <w:rsid w:val="006520C4"/>
    <w:rsid w:val="00652501"/>
    <w:rsid w:val="00652B94"/>
    <w:rsid w:val="00652DE4"/>
    <w:rsid w:val="00653139"/>
    <w:rsid w:val="006536CA"/>
    <w:rsid w:val="006538D4"/>
    <w:rsid w:val="00653D46"/>
    <w:rsid w:val="00653EFE"/>
    <w:rsid w:val="006548FF"/>
    <w:rsid w:val="00654FCA"/>
    <w:rsid w:val="0065508C"/>
    <w:rsid w:val="00655656"/>
    <w:rsid w:val="00655E48"/>
    <w:rsid w:val="00655F91"/>
    <w:rsid w:val="0065621A"/>
    <w:rsid w:val="006564BC"/>
    <w:rsid w:val="00656981"/>
    <w:rsid w:val="00656A84"/>
    <w:rsid w:val="00656B30"/>
    <w:rsid w:val="00656DBC"/>
    <w:rsid w:val="00657244"/>
    <w:rsid w:val="0065728F"/>
    <w:rsid w:val="00657BD8"/>
    <w:rsid w:val="006601D9"/>
    <w:rsid w:val="00660361"/>
    <w:rsid w:val="006606BB"/>
    <w:rsid w:val="00661187"/>
    <w:rsid w:val="00661747"/>
    <w:rsid w:val="0066190D"/>
    <w:rsid w:val="006620ED"/>
    <w:rsid w:val="00662D34"/>
    <w:rsid w:val="006630EC"/>
    <w:rsid w:val="006633C4"/>
    <w:rsid w:val="00663992"/>
    <w:rsid w:val="00663A71"/>
    <w:rsid w:val="00663FF8"/>
    <w:rsid w:val="00664A54"/>
    <w:rsid w:val="00664D2D"/>
    <w:rsid w:val="00665029"/>
    <w:rsid w:val="00665313"/>
    <w:rsid w:val="0066570A"/>
    <w:rsid w:val="00665820"/>
    <w:rsid w:val="006658D3"/>
    <w:rsid w:val="00665CB6"/>
    <w:rsid w:val="00665F89"/>
    <w:rsid w:val="0066683D"/>
    <w:rsid w:val="00666894"/>
    <w:rsid w:val="00666A58"/>
    <w:rsid w:val="00666A63"/>
    <w:rsid w:val="00666A9D"/>
    <w:rsid w:val="00667760"/>
    <w:rsid w:val="00667AAB"/>
    <w:rsid w:val="00667AB3"/>
    <w:rsid w:val="0067011F"/>
    <w:rsid w:val="0067033F"/>
    <w:rsid w:val="00670615"/>
    <w:rsid w:val="0067076E"/>
    <w:rsid w:val="00670938"/>
    <w:rsid w:val="006716EE"/>
    <w:rsid w:val="00671929"/>
    <w:rsid w:val="00671B2B"/>
    <w:rsid w:val="00671F76"/>
    <w:rsid w:val="006730ED"/>
    <w:rsid w:val="006737FC"/>
    <w:rsid w:val="00673A25"/>
    <w:rsid w:val="00673EA5"/>
    <w:rsid w:val="006742EC"/>
    <w:rsid w:val="00674494"/>
    <w:rsid w:val="00674FBA"/>
    <w:rsid w:val="006751AC"/>
    <w:rsid w:val="00675331"/>
    <w:rsid w:val="006762F3"/>
    <w:rsid w:val="006769FE"/>
    <w:rsid w:val="00676CA0"/>
    <w:rsid w:val="00676CAE"/>
    <w:rsid w:val="00676FA2"/>
    <w:rsid w:val="006771F2"/>
    <w:rsid w:val="006776BA"/>
    <w:rsid w:val="006776C9"/>
    <w:rsid w:val="0067784F"/>
    <w:rsid w:val="006779F8"/>
    <w:rsid w:val="00677B29"/>
    <w:rsid w:val="00677DB7"/>
    <w:rsid w:val="006806E8"/>
    <w:rsid w:val="006809ED"/>
    <w:rsid w:val="00680D9C"/>
    <w:rsid w:val="00680E71"/>
    <w:rsid w:val="00680FFB"/>
    <w:rsid w:val="006813DB"/>
    <w:rsid w:val="006814E5"/>
    <w:rsid w:val="00681572"/>
    <w:rsid w:val="0068166E"/>
    <w:rsid w:val="00681B86"/>
    <w:rsid w:val="00681D3C"/>
    <w:rsid w:val="00681E38"/>
    <w:rsid w:val="006824B4"/>
    <w:rsid w:val="00682598"/>
    <w:rsid w:val="00682F1F"/>
    <w:rsid w:val="00683A59"/>
    <w:rsid w:val="00683AF2"/>
    <w:rsid w:val="006846A2"/>
    <w:rsid w:val="00684721"/>
    <w:rsid w:val="00684738"/>
    <w:rsid w:val="00684D94"/>
    <w:rsid w:val="00685443"/>
    <w:rsid w:val="00685B05"/>
    <w:rsid w:val="00686B08"/>
    <w:rsid w:val="00686FEE"/>
    <w:rsid w:val="0068723A"/>
    <w:rsid w:val="006872D1"/>
    <w:rsid w:val="00687657"/>
    <w:rsid w:val="00687DAA"/>
    <w:rsid w:val="0069020B"/>
    <w:rsid w:val="00690799"/>
    <w:rsid w:val="00690D3F"/>
    <w:rsid w:val="00690F18"/>
    <w:rsid w:val="0069106B"/>
    <w:rsid w:val="006915A8"/>
    <w:rsid w:val="00691E75"/>
    <w:rsid w:val="006928CF"/>
    <w:rsid w:val="00692A35"/>
    <w:rsid w:val="00693464"/>
    <w:rsid w:val="00693573"/>
    <w:rsid w:val="0069359F"/>
    <w:rsid w:val="00693CB0"/>
    <w:rsid w:val="00693E19"/>
    <w:rsid w:val="006941DB"/>
    <w:rsid w:val="00694B9B"/>
    <w:rsid w:val="00694CD0"/>
    <w:rsid w:val="00694D08"/>
    <w:rsid w:val="00694FC2"/>
    <w:rsid w:val="00695003"/>
    <w:rsid w:val="006950BE"/>
    <w:rsid w:val="0069533E"/>
    <w:rsid w:val="006956A0"/>
    <w:rsid w:val="00695AB5"/>
    <w:rsid w:val="00695ABC"/>
    <w:rsid w:val="006962BF"/>
    <w:rsid w:val="00696C7D"/>
    <w:rsid w:val="00696E1A"/>
    <w:rsid w:val="00696F46"/>
    <w:rsid w:val="006977FD"/>
    <w:rsid w:val="006A0639"/>
    <w:rsid w:val="006A0764"/>
    <w:rsid w:val="006A0EC6"/>
    <w:rsid w:val="006A1429"/>
    <w:rsid w:val="006A14BD"/>
    <w:rsid w:val="006A1542"/>
    <w:rsid w:val="006A1870"/>
    <w:rsid w:val="006A1F02"/>
    <w:rsid w:val="006A20D6"/>
    <w:rsid w:val="006A286E"/>
    <w:rsid w:val="006A3295"/>
    <w:rsid w:val="006A36A2"/>
    <w:rsid w:val="006A37EF"/>
    <w:rsid w:val="006A392D"/>
    <w:rsid w:val="006A3DA0"/>
    <w:rsid w:val="006A3E4A"/>
    <w:rsid w:val="006A41B3"/>
    <w:rsid w:val="006A48AF"/>
    <w:rsid w:val="006A48E3"/>
    <w:rsid w:val="006A5365"/>
    <w:rsid w:val="006A5DAD"/>
    <w:rsid w:val="006A5DEF"/>
    <w:rsid w:val="006A5E6C"/>
    <w:rsid w:val="006A6081"/>
    <w:rsid w:val="006A616B"/>
    <w:rsid w:val="006A6838"/>
    <w:rsid w:val="006A6B22"/>
    <w:rsid w:val="006A717C"/>
    <w:rsid w:val="006A736F"/>
    <w:rsid w:val="006A7989"/>
    <w:rsid w:val="006B006D"/>
    <w:rsid w:val="006B0490"/>
    <w:rsid w:val="006B0A13"/>
    <w:rsid w:val="006B0A96"/>
    <w:rsid w:val="006B0AA9"/>
    <w:rsid w:val="006B0D43"/>
    <w:rsid w:val="006B10FD"/>
    <w:rsid w:val="006B12C1"/>
    <w:rsid w:val="006B13D8"/>
    <w:rsid w:val="006B1920"/>
    <w:rsid w:val="006B1C7A"/>
    <w:rsid w:val="006B221D"/>
    <w:rsid w:val="006B2690"/>
    <w:rsid w:val="006B27C6"/>
    <w:rsid w:val="006B2C17"/>
    <w:rsid w:val="006B31E6"/>
    <w:rsid w:val="006B36F3"/>
    <w:rsid w:val="006B3909"/>
    <w:rsid w:val="006B3BB4"/>
    <w:rsid w:val="006B3D84"/>
    <w:rsid w:val="006B4BC3"/>
    <w:rsid w:val="006B5342"/>
    <w:rsid w:val="006B5664"/>
    <w:rsid w:val="006B5720"/>
    <w:rsid w:val="006B5EFB"/>
    <w:rsid w:val="006B7793"/>
    <w:rsid w:val="006C046A"/>
    <w:rsid w:val="006C04D6"/>
    <w:rsid w:val="006C0B84"/>
    <w:rsid w:val="006C0B9B"/>
    <w:rsid w:val="006C0C99"/>
    <w:rsid w:val="006C0F6E"/>
    <w:rsid w:val="006C1294"/>
    <w:rsid w:val="006C12E3"/>
    <w:rsid w:val="006C1DF6"/>
    <w:rsid w:val="006C1E3C"/>
    <w:rsid w:val="006C1FD8"/>
    <w:rsid w:val="006C2027"/>
    <w:rsid w:val="006C2227"/>
    <w:rsid w:val="006C2B10"/>
    <w:rsid w:val="006C366F"/>
    <w:rsid w:val="006C39A7"/>
    <w:rsid w:val="006C3BFD"/>
    <w:rsid w:val="006C3D78"/>
    <w:rsid w:val="006C406D"/>
    <w:rsid w:val="006C42DB"/>
    <w:rsid w:val="006C4512"/>
    <w:rsid w:val="006C45E7"/>
    <w:rsid w:val="006C49E5"/>
    <w:rsid w:val="006C4DEC"/>
    <w:rsid w:val="006C50A0"/>
    <w:rsid w:val="006C59C1"/>
    <w:rsid w:val="006C5A20"/>
    <w:rsid w:val="006C5C07"/>
    <w:rsid w:val="006C61AC"/>
    <w:rsid w:val="006C67EE"/>
    <w:rsid w:val="006C7082"/>
    <w:rsid w:val="006C7310"/>
    <w:rsid w:val="006C7B6E"/>
    <w:rsid w:val="006C7D30"/>
    <w:rsid w:val="006C7F9D"/>
    <w:rsid w:val="006D0030"/>
    <w:rsid w:val="006D0F86"/>
    <w:rsid w:val="006D16CF"/>
    <w:rsid w:val="006D17A3"/>
    <w:rsid w:val="006D19B2"/>
    <w:rsid w:val="006D26E4"/>
    <w:rsid w:val="006D3383"/>
    <w:rsid w:val="006D33C5"/>
    <w:rsid w:val="006D38F7"/>
    <w:rsid w:val="006D3DC2"/>
    <w:rsid w:val="006D3E13"/>
    <w:rsid w:val="006D3E4C"/>
    <w:rsid w:val="006D3E69"/>
    <w:rsid w:val="006D4299"/>
    <w:rsid w:val="006D508C"/>
    <w:rsid w:val="006D54B6"/>
    <w:rsid w:val="006D58E6"/>
    <w:rsid w:val="006D5C86"/>
    <w:rsid w:val="006D5D00"/>
    <w:rsid w:val="006D5FF5"/>
    <w:rsid w:val="006D671A"/>
    <w:rsid w:val="006D6DC6"/>
    <w:rsid w:val="006D7839"/>
    <w:rsid w:val="006E0C31"/>
    <w:rsid w:val="006E128D"/>
    <w:rsid w:val="006E14AA"/>
    <w:rsid w:val="006E14E2"/>
    <w:rsid w:val="006E192B"/>
    <w:rsid w:val="006E1B3E"/>
    <w:rsid w:val="006E20C8"/>
    <w:rsid w:val="006E2B6B"/>
    <w:rsid w:val="006E2D72"/>
    <w:rsid w:val="006E356B"/>
    <w:rsid w:val="006E378E"/>
    <w:rsid w:val="006E397B"/>
    <w:rsid w:val="006E3DB8"/>
    <w:rsid w:val="006E4434"/>
    <w:rsid w:val="006E4929"/>
    <w:rsid w:val="006E4B66"/>
    <w:rsid w:val="006E4CFE"/>
    <w:rsid w:val="006E51E0"/>
    <w:rsid w:val="006E587D"/>
    <w:rsid w:val="006E5A75"/>
    <w:rsid w:val="006E6653"/>
    <w:rsid w:val="006E6B0B"/>
    <w:rsid w:val="006E7EED"/>
    <w:rsid w:val="006F04A2"/>
    <w:rsid w:val="006F06A7"/>
    <w:rsid w:val="006F078A"/>
    <w:rsid w:val="006F0817"/>
    <w:rsid w:val="006F11B3"/>
    <w:rsid w:val="006F13A0"/>
    <w:rsid w:val="006F1BF3"/>
    <w:rsid w:val="006F1DDE"/>
    <w:rsid w:val="006F22AC"/>
    <w:rsid w:val="006F28B3"/>
    <w:rsid w:val="006F2C47"/>
    <w:rsid w:val="006F3114"/>
    <w:rsid w:val="006F32F9"/>
    <w:rsid w:val="006F33D4"/>
    <w:rsid w:val="006F35AA"/>
    <w:rsid w:val="006F37FA"/>
    <w:rsid w:val="006F37FC"/>
    <w:rsid w:val="006F3E88"/>
    <w:rsid w:val="006F3F39"/>
    <w:rsid w:val="006F59C8"/>
    <w:rsid w:val="006F5A20"/>
    <w:rsid w:val="006F5EBA"/>
    <w:rsid w:val="006F6E8A"/>
    <w:rsid w:val="006F70AA"/>
    <w:rsid w:val="006F7E51"/>
    <w:rsid w:val="00700363"/>
    <w:rsid w:val="00700595"/>
    <w:rsid w:val="007007BA"/>
    <w:rsid w:val="00701191"/>
    <w:rsid w:val="00701336"/>
    <w:rsid w:val="00701C0E"/>
    <w:rsid w:val="007022CB"/>
    <w:rsid w:val="007023FE"/>
    <w:rsid w:val="00702712"/>
    <w:rsid w:val="00702CD3"/>
    <w:rsid w:val="00702F52"/>
    <w:rsid w:val="00703152"/>
    <w:rsid w:val="00703A15"/>
    <w:rsid w:val="00704024"/>
    <w:rsid w:val="00705132"/>
    <w:rsid w:val="007057FC"/>
    <w:rsid w:val="007059C4"/>
    <w:rsid w:val="00706450"/>
    <w:rsid w:val="00706803"/>
    <w:rsid w:val="00706902"/>
    <w:rsid w:val="0070707D"/>
    <w:rsid w:val="007076A7"/>
    <w:rsid w:val="00707AF1"/>
    <w:rsid w:val="0071058E"/>
    <w:rsid w:val="00710C98"/>
    <w:rsid w:val="00710E89"/>
    <w:rsid w:val="0071125B"/>
    <w:rsid w:val="00713187"/>
    <w:rsid w:val="007131C1"/>
    <w:rsid w:val="00713439"/>
    <w:rsid w:val="00713511"/>
    <w:rsid w:val="0071387F"/>
    <w:rsid w:val="007146A2"/>
    <w:rsid w:val="00714761"/>
    <w:rsid w:val="007147B1"/>
    <w:rsid w:val="007149F6"/>
    <w:rsid w:val="00714A89"/>
    <w:rsid w:val="00715981"/>
    <w:rsid w:val="007159B0"/>
    <w:rsid w:val="00715AE6"/>
    <w:rsid w:val="00715B55"/>
    <w:rsid w:val="007161B6"/>
    <w:rsid w:val="0071635B"/>
    <w:rsid w:val="007165A7"/>
    <w:rsid w:val="0071676B"/>
    <w:rsid w:val="00716974"/>
    <w:rsid w:val="007169BC"/>
    <w:rsid w:val="00717205"/>
    <w:rsid w:val="00717211"/>
    <w:rsid w:val="00717A7E"/>
    <w:rsid w:val="00717DC2"/>
    <w:rsid w:val="007202E8"/>
    <w:rsid w:val="0072035F"/>
    <w:rsid w:val="00720472"/>
    <w:rsid w:val="0072048E"/>
    <w:rsid w:val="007205F0"/>
    <w:rsid w:val="00720BE9"/>
    <w:rsid w:val="00720C9B"/>
    <w:rsid w:val="00720DD7"/>
    <w:rsid w:val="00721236"/>
    <w:rsid w:val="007216F7"/>
    <w:rsid w:val="00721A13"/>
    <w:rsid w:val="00721DF9"/>
    <w:rsid w:val="00721EC1"/>
    <w:rsid w:val="007220E1"/>
    <w:rsid w:val="00722169"/>
    <w:rsid w:val="00722809"/>
    <w:rsid w:val="00722D50"/>
    <w:rsid w:val="00723429"/>
    <w:rsid w:val="007238BD"/>
    <w:rsid w:val="00723B22"/>
    <w:rsid w:val="00723B55"/>
    <w:rsid w:val="00723C21"/>
    <w:rsid w:val="00723C76"/>
    <w:rsid w:val="007244B3"/>
    <w:rsid w:val="0072454B"/>
    <w:rsid w:val="007249D3"/>
    <w:rsid w:val="00724C3E"/>
    <w:rsid w:val="00724D93"/>
    <w:rsid w:val="00724E03"/>
    <w:rsid w:val="00724E61"/>
    <w:rsid w:val="00724EF4"/>
    <w:rsid w:val="00726013"/>
    <w:rsid w:val="00727603"/>
    <w:rsid w:val="00727AD7"/>
    <w:rsid w:val="00727CD1"/>
    <w:rsid w:val="00727F87"/>
    <w:rsid w:val="007302A9"/>
    <w:rsid w:val="007305E1"/>
    <w:rsid w:val="00730D04"/>
    <w:rsid w:val="00731408"/>
    <w:rsid w:val="007315A1"/>
    <w:rsid w:val="00731915"/>
    <w:rsid w:val="00731A8E"/>
    <w:rsid w:val="00731E4C"/>
    <w:rsid w:val="007330C0"/>
    <w:rsid w:val="00733293"/>
    <w:rsid w:val="00733C6F"/>
    <w:rsid w:val="00733E8A"/>
    <w:rsid w:val="00733F91"/>
    <w:rsid w:val="007342AC"/>
    <w:rsid w:val="007347AD"/>
    <w:rsid w:val="007349FC"/>
    <w:rsid w:val="00734C40"/>
    <w:rsid w:val="00735674"/>
    <w:rsid w:val="00735F55"/>
    <w:rsid w:val="00735F70"/>
    <w:rsid w:val="0073637B"/>
    <w:rsid w:val="007365A9"/>
    <w:rsid w:val="007366C6"/>
    <w:rsid w:val="00736927"/>
    <w:rsid w:val="00736B3C"/>
    <w:rsid w:val="007371D1"/>
    <w:rsid w:val="00737800"/>
    <w:rsid w:val="00737EF2"/>
    <w:rsid w:val="00740201"/>
    <w:rsid w:val="0074037C"/>
    <w:rsid w:val="0074040F"/>
    <w:rsid w:val="00740522"/>
    <w:rsid w:val="00740560"/>
    <w:rsid w:val="0074073A"/>
    <w:rsid w:val="00740D0C"/>
    <w:rsid w:val="007415AE"/>
    <w:rsid w:val="007417FD"/>
    <w:rsid w:val="0074248F"/>
    <w:rsid w:val="007425D0"/>
    <w:rsid w:val="00742CE2"/>
    <w:rsid w:val="00742EBD"/>
    <w:rsid w:val="00743357"/>
    <w:rsid w:val="007438C6"/>
    <w:rsid w:val="0074396A"/>
    <w:rsid w:val="00743B37"/>
    <w:rsid w:val="0074421A"/>
    <w:rsid w:val="00744DC6"/>
    <w:rsid w:val="007451D5"/>
    <w:rsid w:val="00745805"/>
    <w:rsid w:val="0074605A"/>
    <w:rsid w:val="00746936"/>
    <w:rsid w:val="007469F1"/>
    <w:rsid w:val="0074763E"/>
    <w:rsid w:val="00747656"/>
    <w:rsid w:val="00747ABD"/>
    <w:rsid w:val="00750145"/>
    <w:rsid w:val="007508E2"/>
    <w:rsid w:val="00750CD0"/>
    <w:rsid w:val="00750F12"/>
    <w:rsid w:val="00751BB4"/>
    <w:rsid w:val="00751DFD"/>
    <w:rsid w:val="007523E9"/>
    <w:rsid w:val="00752C9D"/>
    <w:rsid w:val="00753081"/>
    <w:rsid w:val="007530D1"/>
    <w:rsid w:val="007537E4"/>
    <w:rsid w:val="00753EAC"/>
    <w:rsid w:val="00754034"/>
    <w:rsid w:val="00754532"/>
    <w:rsid w:val="00754726"/>
    <w:rsid w:val="0075529E"/>
    <w:rsid w:val="0075544B"/>
    <w:rsid w:val="00755731"/>
    <w:rsid w:val="00755ACA"/>
    <w:rsid w:val="007560C8"/>
    <w:rsid w:val="0075651F"/>
    <w:rsid w:val="00756821"/>
    <w:rsid w:val="00756A56"/>
    <w:rsid w:val="00756B48"/>
    <w:rsid w:val="007573DE"/>
    <w:rsid w:val="00757770"/>
    <w:rsid w:val="0075795B"/>
    <w:rsid w:val="00757F0C"/>
    <w:rsid w:val="007609E3"/>
    <w:rsid w:val="00760B85"/>
    <w:rsid w:val="0076116C"/>
    <w:rsid w:val="007615E3"/>
    <w:rsid w:val="0076162C"/>
    <w:rsid w:val="007619A3"/>
    <w:rsid w:val="00761E68"/>
    <w:rsid w:val="00762613"/>
    <w:rsid w:val="0076282C"/>
    <w:rsid w:val="00762A76"/>
    <w:rsid w:val="007632BD"/>
    <w:rsid w:val="00763A43"/>
    <w:rsid w:val="00764338"/>
    <w:rsid w:val="00764471"/>
    <w:rsid w:val="007646F2"/>
    <w:rsid w:val="00764DF1"/>
    <w:rsid w:val="007654D6"/>
    <w:rsid w:val="00765717"/>
    <w:rsid w:val="007657BD"/>
    <w:rsid w:val="00765853"/>
    <w:rsid w:val="00765E75"/>
    <w:rsid w:val="00766692"/>
    <w:rsid w:val="007666E0"/>
    <w:rsid w:val="007671A2"/>
    <w:rsid w:val="0076734A"/>
    <w:rsid w:val="00767B78"/>
    <w:rsid w:val="00767C79"/>
    <w:rsid w:val="00770AE3"/>
    <w:rsid w:val="00770B4F"/>
    <w:rsid w:val="007712B1"/>
    <w:rsid w:val="00771589"/>
    <w:rsid w:val="007716BC"/>
    <w:rsid w:val="0077197F"/>
    <w:rsid w:val="00771C99"/>
    <w:rsid w:val="00771CC8"/>
    <w:rsid w:val="00771E6C"/>
    <w:rsid w:val="007721FE"/>
    <w:rsid w:val="007725B6"/>
    <w:rsid w:val="00772830"/>
    <w:rsid w:val="00772CDB"/>
    <w:rsid w:val="007738B5"/>
    <w:rsid w:val="00773A96"/>
    <w:rsid w:val="00774467"/>
    <w:rsid w:val="007744F5"/>
    <w:rsid w:val="007760A1"/>
    <w:rsid w:val="007760F4"/>
    <w:rsid w:val="00776490"/>
    <w:rsid w:val="007764D1"/>
    <w:rsid w:val="007768A3"/>
    <w:rsid w:val="00777016"/>
    <w:rsid w:val="00777412"/>
    <w:rsid w:val="00777511"/>
    <w:rsid w:val="00777700"/>
    <w:rsid w:val="007777AE"/>
    <w:rsid w:val="00777A82"/>
    <w:rsid w:val="00777ADC"/>
    <w:rsid w:val="007802E5"/>
    <w:rsid w:val="007802F1"/>
    <w:rsid w:val="007803DB"/>
    <w:rsid w:val="007806A6"/>
    <w:rsid w:val="00780760"/>
    <w:rsid w:val="00780B85"/>
    <w:rsid w:val="00780BA6"/>
    <w:rsid w:val="00781586"/>
    <w:rsid w:val="0078195F"/>
    <w:rsid w:val="00781B30"/>
    <w:rsid w:val="00781D60"/>
    <w:rsid w:val="00781E02"/>
    <w:rsid w:val="007824B5"/>
    <w:rsid w:val="007824B7"/>
    <w:rsid w:val="0078277E"/>
    <w:rsid w:val="00782981"/>
    <w:rsid w:val="00782D1D"/>
    <w:rsid w:val="0078304C"/>
    <w:rsid w:val="007834CC"/>
    <w:rsid w:val="00783868"/>
    <w:rsid w:val="00783E19"/>
    <w:rsid w:val="00784122"/>
    <w:rsid w:val="007846E6"/>
    <w:rsid w:val="007847E0"/>
    <w:rsid w:val="007851B6"/>
    <w:rsid w:val="007853F2"/>
    <w:rsid w:val="0078568F"/>
    <w:rsid w:val="00785699"/>
    <w:rsid w:val="00786034"/>
    <w:rsid w:val="007862D8"/>
    <w:rsid w:val="007868CF"/>
    <w:rsid w:val="00786D11"/>
    <w:rsid w:val="00787054"/>
    <w:rsid w:val="007872D1"/>
    <w:rsid w:val="00787B8A"/>
    <w:rsid w:val="0079027D"/>
    <w:rsid w:val="00790716"/>
    <w:rsid w:val="007907D4"/>
    <w:rsid w:val="00790917"/>
    <w:rsid w:val="00790CD5"/>
    <w:rsid w:val="0079131A"/>
    <w:rsid w:val="00791965"/>
    <w:rsid w:val="00791BBF"/>
    <w:rsid w:val="007932A8"/>
    <w:rsid w:val="007933EF"/>
    <w:rsid w:val="00793400"/>
    <w:rsid w:val="00794C1B"/>
    <w:rsid w:val="007952F1"/>
    <w:rsid w:val="00795E3E"/>
    <w:rsid w:val="00795EA3"/>
    <w:rsid w:val="007961A7"/>
    <w:rsid w:val="007967E6"/>
    <w:rsid w:val="00796A82"/>
    <w:rsid w:val="00796D2C"/>
    <w:rsid w:val="00796DFE"/>
    <w:rsid w:val="00796E7E"/>
    <w:rsid w:val="00796FBB"/>
    <w:rsid w:val="00797061"/>
    <w:rsid w:val="007976CA"/>
    <w:rsid w:val="0079796E"/>
    <w:rsid w:val="007A02E7"/>
    <w:rsid w:val="007A0D3E"/>
    <w:rsid w:val="007A1074"/>
    <w:rsid w:val="007A1140"/>
    <w:rsid w:val="007A163A"/>
    <w:rsid w:val="007A1728"/>
    <w:rsid w:val="007A1963"/>
    <w:rsid w:val="007A1B93"/>
    <w:rsid w:val="007A21C0"/>
    <w:rsid w:val="007A27EC"/>
    <w:rsid w:val="007A2CE8"/>
    <w:rsid w:val="007A2DA9"/>
    <w:rsid w:val="007A2EBD"/>
    <w:rsid w:val="007A2F57"/>
    <w:rsid w:val="007A2F5A"/>
    <w:rsid w:val="007A304C"/>
    <w:rsid w:val="007A39F3"/>
    <w:rsid w:val="007A3A83"/>
    <w:rsid w:val="007A4954"/>
    <w:rsid w:val="007A49D7"/>
    <w:rsid w:val="007A4D47"/>
    <w:rsid w:val="007A4E44"/>
    <w:rsid w:val="007A5402"/>
    <w:rsid w:val="007A65FC"/>
    <w:rsid w:val="007A6C32"/>
    <w:rsid w:val="007A7218"/>
    <w:rsid w:val="007A725C"/>
    <w:rsid w:val="007A7434"/>
    <w:rsid w:val="007A7B86"/>
    <w:rsid w:val="007A7C64"/>
    <w:rsid w:val="007A7F96"/>
    <w:rsid w:val="007B0A32"/>
    <w:rsid w:val="007B1C71"/>
    <w:rsid w:val="007B22B0"/>
    <w:rsid w:val="007B2591"/>
    <w:rsid w:val="007B2AD5"/>
    <w:rsid w:val="007B2C81"/>
    <w:rsid w:val="007B32C4"/>
    <w:rsid w:val="007B3E77"/>
    <w:rsid w:val="007B4385"/>
    <w:rsid w:val="007B4768"/>
    <w:rsid w:val="007B4788"/>
    <w:rsid w:val="007B4841"/>
    <w:rsid w:val="007B55CC"/>
    <w:rsid w:val="007B5851"/>
    <w:rsid w:val="007B58B2"/>
    <w:rsid w:val="007B5A9C"/>
    <w:rsid w:val="007B5AB3"/>
    <w:rsid w:val="007B5DE9"/>
    <w:rsid w:val="007B5E1A"/>
    <w:rsid w:val="007B60F3"/>
    <w:rsid w:val="007B6AF0"/>
    <w:rsid w:val="007B6DC1"/>
    <w:rsid w:val="007B705C"/>
    <w:rsid w:val="007B75E9"/>
    <w:rsid w:val="007B76C0"/>
    <w:rsid w:val="007B7718"/>
    <w:rsid w:val="007B77F4"/>
    <w:rsid w:val="007B7907"/>
    <w:rsid w:val="007B793D"/>
    <w:rsid w:val="007B7FCB"/>
    <w:rsid w:val="007C008F"/>
    <w:rsid w:val="007C0362"/>
    <w:rsid w:val="007C043F"/>
    <w:rsid w:val="007C0B4F"/>
    <w:rsid w:val="007C0D8E"/>
    <w:rsid w:val="007C0F9C"/>
    <w:rsid w:val="007C1028"/>
    <w:rsid w:val="007C11CE"/>
    <w:rsid w:val="007C16C6"/>
    <w:rsid w:val="007C1884"/>
    <w:rsid w:val="007C1D3C"/>
    <w:rsid w:val="007C1E1B"/>
    <w:rsid w:val="007C2071"/>
    <w:rsid w:val="007C2C95"/>
    <w:rsid w:val="007C2D10"/>
    <w:rsid w:val="007C2F8D"/>
    <w:rsid w:val="007C3789"/>
    <w:rsid w:val="007C3899"/>
    <w:rsid w:val="007C3912"/>
    <w:rsid w:val="007C395B"/>
    <w:rsid w:val="007C3D2B"/>
    <w:rsid w:val="007C3D34"/>
    <w:rsid w:val="007C40E6"/>
    <w:rsid w:val="007C4434"/>
    <w:rsid w:val="007C480D"/>
    <w:rsid w:val="007C4BE3"/>
    <w:rsid w:val="007C4C70"/>
    <w:rsid w:val="007C4E73"/>
    <w:rsid w:val="007C520D"/>
    <w:rsid w:val="007C574D"/>
    <w:rsid w:val="007C5888"/>
    <w:rsid w:val="007C5AB3"/>
    <w:rsid w:val="007C5C17"/>
    <w:rsid w:val="007C5C83"/>
    <w:rsid w:val="007C628D"/>
    <w:rsid w:val="007C6B0B"/>
    <w:rsid w:val="007C6DD4"/>
    <w:rsid w:val="007C72DE"/>
    <w:rsid w:val="007C79A4"/>
    <w:rsid w:val="007C7EC9"/>
    <w:rsid w:val="007C7F17"/>
    <w:rsid w:val="007D0501"/>
    <w:rsid w:val="007D0D47"/>
    <w:rsid w:val="007D1021"/>
    <w:rsid w:val="007D1362"/>
    <w:rsid w:val="007D16CA"/>
    <w:rsid w:val="007D182D"/>
    <w:rsid w:val="007D1B05"/>
    <w:rsid w:val="007D23A1"/>
    <w:rsid w:val="007D24D4"/>
    <w:rsid w:val="007D261F"/>
    <w:rsid w:val="007D2A26"/>
    <w:rsid w:val="007D3049"/>
    <w:rsid w:val="007D3425"/>
    <w:rsid w:val="007D4285"/>
    <w:rsid w:val="007D429B"/>
    <w:rsid w:val="007D4744"/>
    <w:rsid w:val="007D4B72"/>
    <w:rsid w:val="007D4FC4"/>
    <w:rsid w:val="007D5125"/>
    <w:rsid w:val="007D539A"/>
    <w:rsid w:val="007D593C"/>
    <w:rsid w:val="007D5974"/>
    <w:rsid w:val="007D5AFD"/>
    <w:rsid w:val="007D5D1F"/>
    <w:rsid w:val="007D6A86"/>
    <w:rsid w:val="007D6E7C"/>
    <w:rsid w:val="007D7461"/>
    <w:rsid w:val="007D774D"/>
    <w:rsid w:val="007D7D62"/>
    <w:rsid w:val="007D7DE3"/>
    <w:rsid w:val="007E0906"/>
    <w:rsid w:val="007E10A7"/>
    <w:rsid w:val="007E13A1"/>
    <w:rsid w:val="007E21EC"/>
    <w:rsid w:val="007E2C81"/>
    <w:rsid w:val="007E3003"/>
    <w:rsid w:val="007E30CE"/>
    <w:rsid w:val="007E3124"/>
    <w:rsid w:val="007E33AD"/>
    <w:rsid w:val="007E3722"/>
    <w:rsid w:val="007E4068"/>
    <w:rsid w:val="007E4A66"/>
    <w:rsid w:val="007E4B05"/>
    <w:rsid w:val="007E5986"/>
    <w:rsid w:val="007E5D96"/>
    <w:rsid w:val="007E5EFB"/>
    <w:rsid w:val="007E636E"/>
    <w:rsid w:val="007E64A9"/>
    <w:rsid w:val="007E66C4"/>
    <w:rsid w:val="007E67BE"/>
    <w:rsid w:val="007E6908"/>
    <w:rsid w:val="007E6DC8"/>
    <w:rsid w:val="007E6F73"/>
    <w:rsid w:val="007E74CA"/>
    <w:rsid w:val="007E7F3A"/>
    <w:rsid w:val="007F0513"/>
    <w:rsid w:val="007F0890"/>
    <w:rsid w:val="007F0AD3"/>
    <w:rsid w:val="007F0F28"/>
    <w:rsid w:val="007F13BF"/>
    <w:rsid w:val="007F182D"/>
    <w:rsid w:val="007F1C73"/>
    <w:rsid w:val="007F275E"/>
    <w:rsid w:val="007F3035"/>
    <w:rsid w:val="007F3169"/>
    <w:rsid w:val="007F3A8C"/>
    <w:rsid w:val="007F3AAD"/>
    <w:rsid w:val="007F412A"/>
    <w:rsid w:val="007F4687"/>
    <w:rsid w:val="007F5643"/>
    <w:rsid w:val="007F5A1F"/>
    <w:rsid w:val="007F5A2D"/>
    <w:rsid w:val="007F5B4A"/>
    <w:rsid w:val="007F5CD9"/>
    <w:rsid w:val="007F61AD"/>
    <w:rsid w:val="007F68AB"/>
    <w:rsid w:val="007F6A17"/>
    <w:rsid w:val="007F726C"/>
    <w:rsid w:val="007F72FA"/>
    <w:rsid w:val="007F7691"/>
    <w:rsid w:val="007F7924"/>
    <w:rsid w:val="007F7E20"/>
    <w:rsid w:val="0080002A"/>
    <w:rsid w:val="0080006E"/>
    <w:rsid w:val="00800122"/>
    <w:rsid w:val="008004AE"/>
    <w:rsid w:val="008006E9"/>
    <w:rsid w:val="008007F2"/>
    <w:rsid w:val="00800DB6"/>
    <w:rsid w:val="00801092"/>
    <w:rsid w:val="00801234"/>
    <w:rsid w:val="008013FF"/>
    <w:rsid w:val="008021E1"/>
    <w:rsid w:val="008022BA"/>
    <w:rsid w:val="00802818"/>
    <w:rsid w:val="00802A89"/>
    <w:rsid w:val="00802B2E"/>
    <w:rsid w:val="00802BDB"/>
    <w:rsid w:val="00802C71"/>
    <w:rsid w:val="00802FA4"/>
    <w:rsid w:val="008035AD"/>
    <w:rsid w:val="00803825"/>
    <w:rsid w:val="0080383C"/>
    <w:rsid w:val="00803899"/>
    <w:rsid w:val="00804BC3"/>
    <w:rsid w:val="00804E6B"/>
    <w:rsid w:val="00804ECB"/>
    <w:rsid w:val="0080562E"/>
    <w:rsid w:val="00805E4A"/>
    <w:rsid w:val="00805E56"/>
    <w:rsid w:val="00806167"/>
    <w:rsid w:val="00806171"/>
    <w:rsid w:val="00806831"/>
    <w:rsid w:val="00806C7F"/>
    <w:rsid w:val="008078A1"/>
    <w:rsid w:val="00807E8B"/>
    <w:rsid w:val="00810080"/>
    <w:rsid w:val="008101D0"/>
    <w:rsid w:val="0081047E"/>
    <w:rsid w:val="00810778"/>
    <w:rsid w:val="00810FEA"/>
    <w:rsid w:val="008113C5"/>
    <w:rsid w:val="00811CE3"/>
    <w:rsid w:val="00811F90"/>
    <w:rsid w:val="008122E8"/>
    <w:rsid w:val="008129CD"/>
    <w:rsid w:val="00812C51"/>
    <w:rsid w:val="00812E2F"/>
    <w:rsid w:val="00812EDD"/>
    <w:rsid w:val="00813529"/>
    <w:rsid w:val="008136C9"/>
    <w:rsid w:val="00813C9E"/>
    <w:rsid w:val="00814331"/>
    <w:rsid w:val="00815000"/>
    <w:rsid w:val="0081616E"/>
    <w:rsid w:val="00816AC2"/>
    <w:rsid w:val="00816C03"/>
    <w:rsid w:val="00816D24"/>
    <w:rsid w:val="008171ED"/>
    <w:rsid w:val="008179FB"/>
    <w:rsid w:val="00817D05"/>
    <w:rsid w:val="008200D8"/>
    <w:rsid w:val="00820A96"/>
    <w:rsid w:val="00821468"/>
    <w:rsid w:val="008214A6"/>
    <w:rsid w:val="00821728"/>
    <w:rsid w:val="00821801"/>
    <w:rsid w:val="008221A8"/>
    <w:rsid w:val="0082287C"/>
    <w:rsid w:val="00822A87"/>
    <w:rsid w:val="00823086"/>
    <w:rsid w:val="008232E0"/>
    <w:rsid w:val="00823802"/>
    <w:rsid w:val="008239BB"/>
    <w:rsid w:val="00823E09"/>
    <w:rsid w:val="00824773"/>
    <w:rsid w:val="00824988"/>
    <w:rsid w:val="008252AC"/>
    <w:rsid w:val="0082536C"/>
    <w:rsid w:val="008253C8"/>
    <w:rsid w:val="00825E00"/>
    <w:rsid w:val="00825EF9"/>
    <w:rsid w:val="008264BE"/>
    <w:rsid w:val="008266DD"/>
    <w:rsid w:val="00827486"/>
    <w:rsid w:val="00827C5A"/>
    <w:rsid w:val="00827C84"/>
    <w:rsid w:val="00827E65"/>
    <w:rsid w:val="00830C65"/>
    <w:rsid w:val="00830C66"/>
    <w:rsid w:val="00831227"/>
    <w:rsid w:val="008319FB"/>
    <w:rsid w:val="00831A3A"/>
    <w:rsid w:val="0083201E"/>
    <w:rsid w:val="008328CB"/>
    <w:rsid w:val="00833034"/>
    <w:rsid w:val="008330D9"/>
    <w:rsid w:val="0083359E"/>
    <w:rsid w:val="00833A9A"/>
    <w:rsid w:val="00833D6D"/>
    <w:rsid w:val="00834111"/>
    <w:rsid w:val="00834553"/>
    <w:rsid w:val="008346A8"/>
    <w:rsid w:val="008347D5"/>
    <w:rsid w:val="0083491A"/>
    <w:rsid w:val="00834B7B"/>
    <w:rsid w:val="00834C5D"/>
    <w:rsid w:val="00834CD4"/>
    <w:rsid w:val="00835202"/>
    <w:rsid w:val="00835286"/>
    <w:rsid w:val="008359E5"/>
    <w:rsid w:val="0083629C"/>
    <w:rsid w:val="00836950"/>
    <w:rsid w:val="00836BC8"/>
    <w:rsid w:val="00836E7E"/>
    <w:rsid w:val="00836F35"/>
    <w:rsid w:val="008370B6"/>
    <w:rsid w:val="0083769D"/>
    <w:rsid w:val="00837824"/>
    <w:rsid w:val="008378CA"/>
    <w:rsid w:val="0083792D"/>
    <w:rsid w:val="00837D07"/>
    <w:rsid w:val="008401FC"/>
    <w:rsid w:val="008404EE"/>
    <w:rsid w:val="008419FE"/>
    <w:rsid w:val="00842324"/>
    <w:rsid w:val="00843216"/>
    <w:rsid w:val="008433C6"/>
    <w:rsid w:val="00843AFF"/>
    <w:rsid w:val="00843F8B"/>
    <w:rsid w:val="008440D9"/>
    <w:rsid w:val="008441D0"/>
    <w:rsid w:val="008442AB"/>
    <w:rsid w:val="00844ADF"/>
    <w:rsid w:val="00844B3E"/>
    <w:rsid w:val="00844F4E"/>
    <w:rsid w:val="00845084"/>
    <w:rsid w:val="00845487"/>
    <w:rsid w:val="00845739"/>
    <w:rsid w:val="00845ADC"/>
    <w:rsid w:val="00845DCF"/>
    <w:rsid w:val="008463A6"/>
    <w:rsid w:val="00847A40"/>
    <w:rsid w:val="00847B56"/>
    <w:rsid w:val="00850B1A"/>
    <w:rsid w:val="00850BD7"/>
    <w:rsid w:val="00850DBB"/>
    <w:rsid w:val="00851F7D"/>
    <w:rsid w:val="0085227C"/>
    <w:rsid w:val="0085251D"/>
    <w:rsid w:val="00852FF3"/>
    <w:rsid w:val="00853253"/>
    <w:rsid w:val="00853E2C"/>
    <w:rsid w:val="00854BAD"/>
    <w:rsid w:val="00855994"/>
    <w:rsid w:val="00856378"/>
    <w:rsid w:val="008563FD"/>
    <w:rsid w:val="00856C39"/>
    <w:rsid w:val="00856D2B"/>
    <w:rsid w:val="00856F1B"/>
    <w:rsid w:val="008575B3"/>
    <w:rsid w:val="00857E9F"/>
    <w:rsid w:val="0086075D"/>
    <w:rsid w:val="0086127C"/>
    <w:rsid w:val="00861C27"/>
    <w:rsid w:val="0086200E"/>
    <w:rsid w:val="008626B4"/>
    <w:rsid w:val="008633F3"/>
    <w:rsid w:val="008637EA"/>
    <w:rsid w:val="00865276"/>
    <w:rsid w:val="00865960"/>
    <w:rsid w:val="00866800"/>
    <w:rsid w:val="008669DB"/>
    <w:rsid w:val="00866BDC"/>
    <w:rsid w:val="008670D8"/>
    <w:rsid w:val="00867E7C"/>
    <w:rsid w:val="00870A1C"/>
    <w:rsid w:val="0087108E"/>
    <w:rsid w:val="008718A1"/>
    <w:rsid w:val="00871A2E"/>
    <w:rsid w:val="00871D72"/>
    <w:rsid w:val="008723DE"/>
    <w:rsid w:val="008724DC"/>
    <w:rsid w:val="008727B0"/>
    <w:rsid w:val="00872FB7"/>
    <w:rsid w:val="0087356D"/>
    <w:rsid w:val="00873764"/>
    <w:rsid w:val="00873BFE"/>
    <w:rsid w:val="008741A6"/>
    <w:rsid w:val="00874389"/>
    <w:rsid w:val="008747C0"/>
    <w:rsid w:val="00874E25"/>
    <w:rsid w:val="008750B0"/>
    <w:rsid w:val="0087539E"/>
    <w:rsid w:val="00875443"/>
    <w:rsid w:val="00875B05"/>
    <w:rsid w:val="00875D84"/>
    <w:rsid w:val="00876443"/>
    <w:rsid w:val="00876458"/>
    <w:rsid w:val="008768E1"/>
    <w:rsid w:val="00877041"/>
    <w:rsid w:val="00877072"/>
    <w:rsid w:val="008773D4"/>
    <w:rsid w:val="008777E3"/>
    <w:rsid w:val="008779F5"/>
    <w:rsid w:val="0088003A"/>
    <w:rsid w:val="0088009F"/>
    <w:rsid w:val="0088026C"/>
    <w:rsid w:val="00880296"/>
    <w:rsid w:val="00880C3A"/>
    <w:rsid w:val="00881925"/>
    <w:rsid w:val="00882312"/>
    <w:rsid w:val="00882FE5"/>
    <w:rsid w:val="00883DBA"/>
    <w:rsid w:val="0088417C"/>
    <w:rsid w:val="008846CC"/>
    <w:rsid w:val="00884832"/>
    <w:rsid w:val="00884B47"/>
    <w:rsid w:val="00884D9E"/>
    <w:rsid w:val="00885A72"/>
    <w:rsid w:val="008860C2"/>
    <w:rsid w:val="00886368"/>
    <w:rsid w:val="00886500"/>
    <w:rsid w:val="00886970"/>
    <w:rsid w:val="008873B2"/>
    <w:rsid w:val="00887531"/>
    <w:rsid w:val="008877AF"/>
    <w:rsid w:val="00890614"/>
    <w:rsid w:val="00890875"/>
    <w:rsid w:val="00890E29"/>
    <w:rsid w:val="00891151"/>
    <w:rsid w:val="00891522"/>
    <w:rsid w:val="008918C7"/>
    <w:rsid w:val="0089210B"/>
    <w:rsid w:val="0089222B"/>
    <w:rsid w:val="00893022"/>
    <w:rsid w:val="008933CA"/>
    <w:rsid w:val="00893F88"/>
    <w:rsid w:val="00894407"/>
    <w:rsid w:val="00895190"/>
    <w:rsid w:val="0089532F"/>
    <w:rsid w:val="0089576F"/>
    <w:rsid w:val="00895D8F"/>
    <w:rsid w:val="00896050"/>
    <w:rsid w:val="008970E8"/>
    <w:rsid w:val="00897478"/>
    <w:rsid w:val="008A06FD"/>
    <w:rsid w:val="008A1067"/>
    <w:rsid w:val="008A13B6"/>
    <w:rsid w:val="008A18B3"/>
    <w:rsid w:val="008A22DB"/>
    <w:rsid w:val="008A2CC6"/>
    <w:rsid w:val="008A2D4F"/>
    <w:rsid w:val="008A2F75"/>
    <w:rsid w:val="008A36FA"/>
    <w:rsid w:val="008A3B62"/>
    <w:rsid w:val="008A4686"/>
    <w:rsid w:val="008A47C3"/>
    <w:rsid w:val="008A47D9"/>
    <w:rsid w:val="008A4A95"/>
    <w:rsid w:val="008A53C5"/>
    <w:rsid w:val="008A5B11"/>
    <w:rsid w:val="008A5EA7"/>
    <w:rsid w:val="008A6323"/>
    <w:rsid w:val="008A719F"/>
    <w:rsid w:val="008A73CC"/>
    <w:rsid w:val="008A77A4"/>
    <w:rsid w:val="008B00D6"/>
    <w:rsid w:val="008B0518"/>
    <w:rsid w:val="008B08C0"/>
    <w:rsid w:val="008B09E8"/>
    <w:rsid w:val="008B0B60"/>
    <w:rsid w:val="008B0E47"/>
    <w:rsid w:val="008B1464"/>
    <w:rsid w:val="008B1A98"/>
    <w:rsid w:val="008B1F4B"/>
    <w:rsid w:val="008B20F1"/>
    <w:rsid w:val="008B220D"/>
    <w:rsid w:val="008B39D0"/>
    <w:rsid w:val="008B3C9F"/>
    <w:rsid w:val="008B447B"/>
    <w:rsid w:val="008B5187"/>
    <w:rsid w:val="008B52C8"/>
    <w:rsid w:val="008B52DB"/>
    <w:rsid w:val="008B5433"/>
    <w:rsid w:val="008B59AE"/>
    <w:rsid w:val="008B5B5A"/>
    <w:rsid w:val="008B65BC"/>
    <w:rsid w:val="008B65D1"/>
    <w:rsid w:val="008B6A77"/>
    <w:rsid w:val="008B7368"/>
    <w:rsid w:val="008B77CA"/>
    <w:rsid w:val="008B7B71"/>
    <w:rsid w:val="008B7FC5"/>
    <w:rsid w:val="008C021E"/>
    <w:rsid w:val="008C095B"/>
    <w:rsid w:val="008C25F2"/>
    <w:rsid w:val="008C2F54"/>
    <w:rsid w:val="008C31A3"/>
    <w:rsid w:val="008C3693"/>
    <w:rsid w:val="008C3B2E"/>
    <w:rsid w:val="008C3DCB"/>
    <w:rsid w:val="008C3E1F"/>
    <w:rsid w:val="008C437A"/>
    <w:rsid w:val="008C4389"/>
    <w:rsid w:val="008C4BBD"/>
    <w:rsid w:val="008C4F99"/>
    <w:rsid w:val="008C51F5"/>
    <w:rsid w:val="008C54FF"/>
    <w:rsid w:val="008C5B16"/>
    <w:rsid w:val="008C5BCA"/>
    <w:rsid w:val="008C6760"/>
    <w:rsid w:val="008C6A85"/>
    <w:rsid w:val="008C71F0"/>
    <w:rsid w:val="008C74A5"/>
    <w:rsid w:val="008C74C2"/>
    <w:rsid w:val="008C7700"/>
    <w:rsid w:val="008D0082"/>
    <w:rsid w:val="008D0387"/>
    <w:rsid w:val="008D1306"/>
    <w:rsid w:val="008D1CCA"/>
    <w:rsid w:val="008D207A"/>
    <w:rsid w:val="008D2588"/>
    <w:rsid w:val="008D3272"/>
    <w:rsid w:val="008D34D2"/>
    <w:rsid w:val="008D4078"/>
    <w:rsid w:val="008D44D6"/>
    <w:rsid w:val="008D4A70"/>
    <w:rsid w:val="008D4BB2"/>
    <w:rsid w:val="008D5320"/>
    <w:rsid w:val="008D5494"/>
    <w:rsid w:val="008D561E"/>
    <w:rsid w:val="008D5D6E"/>
    <w:rsid w:val="008D68D2"/>
    <w:rsid w:val="008D6B47"/>
    <w:rsid w:val="008D7519"/>
    <w:rsid w:val="008D779D"/>
    <w:rsid w:val="008D789C"/>
    <w:rsid w:val="008D790D"/>
    <w:rsid w:val="008D79AD"/>
    <w:rsid w:val="008D7ACA"/>
    <w:rsid w:val="008D7AD5"/>
    <w:rsid w:val="008E0205"/>
    <w:rsid w:val="008E09A7"/>
    <w:rsid w:val="008E0BBE"/>
    <w:rsid w:val="008E0CD8"/>
    <w:rsid w:val="008E0D74"/>
    <w:rsid w:val="008E0D79"/>
    <w:rsid w:val="008E1113"/>
    <w:rsid w:val="008E2842"/>
    <w:rsid w:val="008E2C35"/>
    <w:rsid w:val="008E3329"/>
    <w:rsid w:val="008E3608"/>
    <w:rsid w:val="008E374B"/>
    <w:rsid w:val="008E3912"/>
    <w:rsid w:val="008E3D4F"/>
    <w:rsid w:val="008E3DE0"/>
    <w:rsid w:val="008E3E51"/>
    <w:rsid w:val="008E3E98"/>
    <w:rsid w:val="008E3EFF"/>
    <w:rsid w:val="008E494E"/>
    <w:rsid w:val="008E4EAA"/>
    <w:rsid w:val="008E4FFC"/>
    <w:rsid w:val="008E6133"/>
    <w:rsid w:val="008E6612"/>
    <w:rsid w:val="008E6D79"/>
    <w:rsid w:val="008F0134"/>
    <w:rsid w:val="008F084A"/>
    <w:rsid w:val="008F0A22"/>
    <w:rsid w:val="008F0D4C"/>
    <w:rsid w:val="008F183C"/>
    <w:rsid w:val="008F1A26"/>
    <w:rsid w:val="008F1AED"/>
    <w:rsid w:val="008F1C74"/>
    <w:rsid w:val="008F2332"/>
    <w:rsid w:val="008F23AD"/>
    <w:rsid w:val="008F3E26"/>
    <w:rsid w:val="008F474E"/>
    <w:rsid w:val="008F4AE0"/>
    <w:rsid w:val="008F4CE6"/>
    <w:rsid w:val="008F4E29"/>
    <w:rsid w:val="008F5A32"/>
    <w:rsid w:val="008F5B29"/>
    <w:rsid w:val="008F5E68"/>
    <w:rsid w:val="008F619D"/>
    <w:rsid w:val="008F6231"/>
    <w:rsid w:val="008F69B3"/>
    <w:rsid w:val="008F6B5D"/>
    <w:rsid w:val="008F6CF7"/>
    <w:rsid w:val="008F6D7B"/>
    <w:rsid w:val="008F6EA7"/>
    <w:rsid w:val="008F7CFA"/>
    <w:rsid w:val="008F7D37"/>
    <w:rsid w:val="00900306"/>
    <w:rsid w:val="00900B60"/>
    <w:rsid w:val="0090123F"/>
    <w:rsid w:val="009014FC"/>
    <w:rsid w:val="00901A0E"/>
    <w:rsid w:val="00901A3C"/>
    <w:rsid w:val="00901F3D"/>
    <w:rsid w:val="00902828"/>
    <w:rsid w:val="00902949"/>
    <w:rsid w:val="00902989"/>
    <w:rsid w:val="00902DBE"/>
    <w:rsid w:val="009057BD"/>
    <w:rsid w:val="009058B1"/>
    <w:rsid w:val="00905B3E"/>
    <w:rsid w:val="00906068"/>
    <w:rsid w:val="009070BE"/>
    <w:rsid w:val="00907107"/>
    <w:rsid w:val="009072D4"/>
    <w:rsid w:val="00907E0D"/>
    <w:rsid w:val="00907E45"/>
    <w:rsid w:val="00907F30"/>
    <w:rsid w:val="00910547"/>
    <w:rsid w:val="009107DE"/>
    <w:rsid w:val="009110BC"/>
    <w:rsid w:val="009113F8"/>
    <w:rsid w:val="00911A80"/>
    <w:rsid w:val="00911C7F"/>
    <w:rsid w:val="009127C4"/>
    <w:rsid w:val="0091293D"/>
    <w:rsid w:val="00913252"/>
    <w:rsid w:val="009137CB"/>
    <w:rsid w:val="00913CFA"/>
    <w:rsid w:val="00913E38"/>
    <w:rsid w:val="00913EA2"/>
    <w:rsid w:val="00913FDA"/>
    <w:rsid w:val="00915452"/>
    <w:rsid w:val="0091552F"/>
    <w:rsid w:val="009155D4"/>
    <w:rsid w:val="00915DDF"/>
    <w:rsid w:val="0091677A"/>
    <w:rsid w:val="00916CFC"/>
    <w:rsid w:val="009171D3"/>
    <w:rsid w:val="00917702"/>
    <w:rsid w:val="0091775B"/>
    <w:rsid w:val="00917FC6"/>
    <w:rsid w:val="009200E4"/>
    <w:rsid w:val="0092018E"/>
    <w:rsid w:val="00920A0D"/>
    <w:rsid w:val="00920C4B"/>
    <w:rsid w:val="0092127B"/>
    <w:rsid w:val="00921448"/>
    <w:rsid w:val="0092183D"/>
    <w:rsid w:val="009219B7"/>
    <w:rsid w:val="00921D81"/>
    <w:rsid w:val="00921F80"/>
    <w:rsid w:val="009228FB"/>
    <w:rsid w:val="00922C24"/>
    <w:rsid w:val="00923CC8"/>
    <w:rsid w:val="00924130"/>
    <w:rsid w:val="00924253"/>
    <w:rsid w:val="00924598"/>
    <w:rsid w:val="00924CAF"/>
    <w:rsid w:val="00924E74"/>
    <w:rsid w:val="00925492"/>
    <w:rsid w:val="00925D22"/>
    <w:rsid w:val="00925D44"/>
    <w:rsid w:val="00925FB3"/>
    <w:rsid w:val="00926018"/>
    <w:rsid w:val="00926A48"/>
    <w:rsid w:val="00927741"/>
    <w:rsid w:val="00927AAA"/>
    <w:rsid w:val="00927DDD"/>
    <w:rsid w:val="00927EEE"/>
    <w:rsid w:val="0093014C"/>
    <w:rsid w:val="009301AD"/>
    <w:rsid w:val="00930C04"/>
    <w:rsid w:val="00930C2D"/>
    <w:rsid w:val="00930DA6"/>
    <w:rsid w:val="0093176E"/>
    <w:rsid w:val="00931985"/>
    <w:rsid w:val="009319A1"/>
    <w:rsid w:val="009325CA"/>
    <w:rsid w:val="009326B9"/>
    <w:rsid w:val="009326BA"/>
    <w:rsid w:val="00932D92"/>
    <w:rsid w:val="00932DC6"/>
    <w:rsid w:val="00933085"/>
    <w:rsid w:val="009335C1"/>
    <w:rsid w:val="00933B34"/>
    <w:rsid w:val="00933E4F"/>
    <w:rsid w:val="0093456C"/>
    <w:rsid w:val="0093475E"/>
    <w:rsid w:val="00934ABA"/>
    <w:rsid w:val="00934C35"/>
    <w:rsid w:val="00934DD9"/>
    <w:rsid w:val="00934E5C"/>
    <w:rsid w:val="00935E41"/>
    <w:rsid w:val="00936288"/>
    <w:rsid w:val="0093680A"/>
    <w:rsid w:val="00936C62"/>
    <w:rsid w:val="00937064"/>
    <w:rsid w:val="00937408"/>
    <w:rsid w:val="00937A3B"/>
    <w:rsid w:val="00937D58"/>
    <w:rsid w:val="009400FF"/>
    <w:rsid w:val="0094027A"/>
    <w:rsid w:val="00940E67"/>
    <w:rsid w:val="00941318"/>
    <w:rsid w:val="00941B88"/>
    <w:rsid w:val="009422E9"/>
    <w:rsid w:val="009427C9"/>
    <w:rsid w:val="00942A66"/>
    <w:rsid w:val="00942AF4"/>
    <w:rsid w:val="00942CB4"/>
    <w:rsid w:val="00943114"/>
    <w:rsid w:val="00943AFB"/>
    <w:rsid w:val="00943B75"/>
    <w:rsid w:val="00944539"/>
    <w:rsid w:val="00944571"/>
    <w:rsid w:val="00944CFC"/>
    <w:rsid w:val="00945980"/>
    <w:rsid w:val="0094651B"/>
    <w:rsid w:val="0094674A"/>
    <w:rsid w:val="00946B64"/>
    <w:rsid w:val="00946CDA"/>
    <w:rsid w:val="009473A2"/>
    <w:rsid w:val="009476BD"/>
    <w:rsid w:val="009478C3"/>
    <w:rsid w:val="0095015B"/>
    <w:rsid w:val="009502D5"/>
    <w:rsid w:val="00950535"/>
    <w:rsid w:val="009505CA"/>
    <w:rsid w:val="00950891"/>
    <w:rsid w:val="009509B7"/>
    <w:rsid w:val="009514DA"/>
    <w:rsid w:val="00951C05"/>
    <w:rsid w:val="00951D91"/>
    <w:rsid w:val="00952981"/>
    <w:rsid w:val="00952C2A"/>
    <w:rsid w:val="009532FD"/>
    <w:rsid w:val="009545C3"/>
    <w:rsid w:val="009552DE"/>
    <w:rsid w:val="0095531A"/>
    <w:rsid w:val="00955714"/>
    <w:rsid w:val="00955AB1"/>
    <w:rsid w:val="0095647D"/>
    <w:rsid w:val="00956718"/>
    <w:rsid w:val="00956783"/>
    <w:rsid w:val="0095688F"/>
    <w:rsid w:val="00957184"/>
    <w:rsid w:val="00957228"/>
    <w:rsid w:val="00957F81"/>
    <w:rsid w:val="00960493"/>
    <w:rsid w:val="009607E6"/>
    <w:rsid w:val="009617EE"/>
    <w:rsid w:val="00961812"/>
    <w:rsid w:val="00961CB0"/>
    <w:rsid w:val="0096205E"/>
    <w:rsid w:val="00962342"/>
    <w:rsid w:val="0096243B"/>
    <w:rsid w:val="0096317F"/>
    <w:rsid w:val="009632B0"/>
    <w:rsid w:val="00963CBB"/>
    <w:rsid w:val="00963E22"/>
    <w:rsid w:val="009641F8"/>
    <w:rsid w:val="00964828"/>
    <w:rsid w:val="0096482C"/>
    <w:rsid w:val="00964F73"/>
    <w:rsid w:val="00965723"/>
    <w:rsid w:val="00965B6E"/>
    <w:rsid w:val="00965BDB"/>
    <w:rsid w:val="0096718C"/>
    <w:rsid w:val="009674E3"/>
    <w:rsid w:val="00967B15"/>
    <w:rsid w:val="00967C7A"/>
    <w:rsid w:val="00967D40"/>
    <w:rsid w:val="00967D85"/>
    <w:rsid w:val="009700F0"/>
    <w:rsid w:val="009704D4"/>
    <w:rsid w:val="00970540"/>
    <w:rsid w:val="00970564"/>
    <w:rsid w:val="00971497"/>
    <w:rsid w:val="009714F9"/>
    <w:rsid w:val="00971560"/>
    <w:rsid w:val="00971DBC"/>
    <w:rsid w:val="00972749"/>
    <w:rsid w:val="0097277E"/>
    <w:rsid w:val="00972BB5"/>
    <w:rsid w:val="00972C13"/>
    <w:rsid w:val="00972E6F"/>
    <w:rsid w:val="009739B2"/>
    <w:rsid w:val="00974B4A"/>
    <w:rsid w:val="00974CCC"/>
    <w:rsid w:val="00975107"/>
    <w:rsid w:val="00975549"/>
    <w:rsid w:val="0097581D"/>
    <w:rsid w:val="00976005"/>
    <w:rsid w:val="00976302"/>
    <w:rsid w:val="009764CE"/>
    <w:rsid w:val="009769B3"/>
    <w:rsid w:val="00976D51"/>
    <w:rsid w:val="00976EB8"/>
    <w:rsid w:val="0097771A"/>
    <w:rsid w:val="00977A96"/>
    <w:rsid w:val="00980276"/>
    <w:rsid w:val="009803B0"/>
    <w:rsid w:val="0098041A"/>
    <w:rsid w:val="00980582"/>
    <w:rsid w:val="00980FED"/>
    <w:rsid w:val="0098126A"/>
    <w:rsid w:val="0098131B"/>
    <w:rsid w:val="00981512"/>
    <w:rsid w:val="0098170E"/>
    <w:rsid w:val="00981BAE"/>
    <w:rsid w:val="0098226A"/>
    <w:rsid w:val="009823BE"/>
    <w:rsid w:val="0098259A"/>
    <w:rsid w:val="00983045"/>
    <w:rsid w:val="00983197"/>
    <w:rsid w:val="00983343"/>
    <w:rsid w:val="00983701"/>
    <w:rsid w:val="009841CA"/>
    <w:rsid w:val="00984EE2"/>
    <w:rsid w:val="009851AB"/>
    <w:rsid w:val="0098535D"/>
    <w:rsid w:val="009853BB"/>
    <w:rsid w:val="009855E4"/>
    <w:rsid w:val="00985805"/>
    <w:rsid w:val="00985E39"/>
    <w:rsid w:val="009861AB"/>
    <w:rsid w:val="00986229"/>
    <w:rsid w:val="00986646"/>
    <w:rsid w:val="00986754"/>
    <w:rsid w:val="00986765"/>
    <w:rsid w:val="00987333"/>
    <w:rsid w:val="0098799B"/>
    <w:rsid w:val="00987B25"/>
    <w:rsid w:val="00987B79"/>
    <w:rsid w:val="009903DF"/>
    <w:rsid w:val="009908D6"/>
    <w:rsid w:val="00990AF0"/>
    <w:rsid w:val="00990BB1"/>
    <w:rsid w:val="00990F62"/>
    <w:rsid w:val="00990FA9"/>
    <w:rsid w:val="009916BF"/>
    <w:rsid w:val="00991D37"/>
    <w:rsid w:val="00991F94"/>
    <w:rsid w:val="0099229A"/>
    <w:rsid w:val="00992F98"/>
    <w:rsid w:val="009933FA"/>
    <w:rsid w:val="00993EEC"/>
    <w:rsid w:val="00994848"/>
    <w:rsid w:val="009954B5"/>
    <w:rsid w:val="00995E34"/>
    <w:rsid w:val="009962BF"/>
    <w:rsid w:val="0099648C"/>
    <w:rsid w:val="00996AEA"/>
    <w:rsid w:val="009970CD"/>
    <w:rsid w:val="009973B3"/>
    <w:rsid w:val="0099799D"/>
    <w:rsid w:val="00997D45"/>
    <w:rsid w:val="00997DFC"/>
    <w:rsid w:val="009A01F7"/>
    <w:rsid w:val="009A087D"/>
    <w:rsid w:val="009A0984"/>
    <w:rsid w:val="009A0BF4"/>
    <w:rsid w:val="009A13AC"/>
    <w:rsid w:val="009A1CD9"/>
    <w:rsid w:val="009A2B9B"/>
    <w:rsid w:val="009A36A8"/>
    <w:rsid w:val="009A3BCA"/>
    <w:rsid w:val="009A3D7E"/>
    <w:rsid w:val="009A409D"/>
    <w:rsid w:val="009A447F"/>
    <w:rsid w:val="009A468C"/>
    <w:rsid w:val="009A51B7"/>
    <w:rsid w:val="009A5256"/>
    <w:rsid w:val="009A52E1"/>
    <w:rsid w:val="009A666C"/>
    <w:rsid w:val="009A7102"/>
    <w:rsid w:val="009A7196"/>
    <w:rsid w:val="009A7466"/>
    <w:rsid w:val="009A7BC5"/>
    <w:rsid w:val="009B0836"/>
    <w:rsid w:val="009B122D"/>
    <w:rsid w:val="009B153C"/>
    <w:rsid w:val="009B17F6"/>
    <w:rsid w:val="009B1868"/>
    <w:rsid w:val="009B18F8"/>
    <w:rsid w:val="009B2636"/>
    <w:rsid w:val="009B27C1"/>
    <w:rsid w:val="009B3181"/>
    <w:rsid w:val="009B3257"/>
    <w:rsid w:val="009B3414"/>
    <w:rsid w:val="009B3643"/>
    <w:rsid w:val="009B37AE"/>
    <w:rsid w:val="009B3F73"/>
    <w:rsid w:val="009B4343"/>
    <w:rsid w:val="009B43DA"/>
    <w:rsid w:val="009B49D8"/>
    <w:rsid w:val="009B4A8F"/>
    <w:rsid w:val="009B4E04"/>
    <w:rsid w:val="009B4E5C"/>
    <w:rsid w:val="009B56F3"/>
    <w:rsid w:val="009B58D6"/>
    <w:rsid w:val="009B5B33"/>
    <w:rsid w:val="009B66C3"/>
    <w:rsid w:val="009B6B4A"/>
    <w:rsid w:val="009B6C16"/>
    <w:rsid w:val="009B7997"/>
    <w:rsid w:val="009B7EB2"/>
    <w:rsid w:val="009C012F"/>
    <w:rsid w:val="009C0B56"/>
    <w:rsid w:val="009C0D57"/>
    <w:rsid w:val="009C11AD"/>
    <w:rsid w:val="009C1DA2"/>
    <w:rsid w:val="009C1E65"/>
    <w:rsid w:val="009C24F0"/>
    <w:rsid w:val="009C2CE9"/>
    <w:rsid w:val="009C3532"/>
    <w:rsid w:val="009C391B"/>
    <w:rsid w:val="009C3958"/>
    <w:rsid w:val="009C4084"/>
    <w:rsid w:val="009C45E0"/>
    <w:rsid w:val="009C463F"/>
    <w:rsid w:val="009C4714"/>
    <w:rsid w:val="009C472C"/>
    <w:rsid w:val="009C4752"/>
    <w:rsid w:val="009C47FE"/>
    <w:rsid w:val="009C53BB"/>
    <w:rsid w:val="009C5735"/>
    <w:rsid w:val="009C5793"/>
    <w:rsid w:val="009C5A36"/>
    <w:rsid w:val="009C5EBB"/>
    <w:rsid w:val="009C69DB"/>
    <w:rsid w:val="009C6B01"/>
    <w:rsid w:val="009C6D31"/>
    <w:rsid w:val="009C6ECE"/>
    <w:rsid w:val="009D01B2"/>
    <w:rsid w:val="009D0701"/>
    <w:rsid w:val="009D08A2"/>
    <w:rsid w:val="009D09E6"/>
    <w:rsid w:val="009D129D"/>
    <w:rsid w:val="009D1698"/>
    <w:rsid w:val="009D1942"/>
    <w:rsid w:val="009D1CCA"/>
    <w:rsid w:val="009D1CD0"/>
    <w:rsid w:val="009D1E98"/>
    <w:rsid w:val="009D1F20"/>
    <w:rsid w:val="009D1F39"/>
    <w:rsid w:val="009D245F"/>
    <w:rsid w:val="009D318F"/>
    <w:rsid w:val="009D3250"/>
    <w:rsid w:val="009D374A"/>
    <w:rsid w:val="009D3B63"/>
    <w:rsid w:val="009D3BA2"/>
    <w:rsid w:val="009D3BDE"/>
    <w:rsid w:val="009D478D"/>
    <w:rsid w:val="009D4891"/>
    <w:rsid w:val="009D4BD4"/>
    <w:rsid w:val="009D4D14"/>
    <w:rsid w:val="009D4D49"/>
    <w:rsid w:val="009D4D6A"/>
    <w:rsid w:val="009D54FA"/>
    <w:rsid w:val="009D5510"/>
    <w:rsid w:val="009D57B2"/>
    <w:rsid w:val="009D5A12"/>
    <w:rsid w:val="009D5AE3"/>
    <w:rsid w:val="009D60E4"/>
    <w:rsid w:val="009D71B1"/>
    <w:rsid w:val="009D7969"/>
    <w:rsid w:val="009D79C4"/>
    <w:rsid w:val="009D7F52"/>
    <w:rsid w:val="009E01C9"/>
    <w:rsid w:val="009E07E4"/>
    <w:rsid w:val="009E0A2F"/>
    <w:rsid w:val="009E0BD8"/>
    <w:rsid w:val="009E0F5A"/>
    <w:rsid w:val="009E1C12"/>
    <w:rsid w:val="009E229D"/>
    <w:rsid w:val="009E2E2F"/>
    <w:rsid w:val="009E2EBE"/>
    <w:rsid w:val="009E3308"/>
    <w:rsid w:val="009E34DE"/>
    <w:rsid w:val="009E3761"/>
    <w:rsid w:val="009E4862"/>
    <w:rsid w:val="009E5599"/>
    <w:rsid w:val="009E5B07"/>
    <w:rsid w:val="009E5D2F"/>
    <w:rsid w:val="009E5D44"/>
    <w:rsid w:val="009E5D4A"/>
    <w:rsid w:val="009E5F2C"/>
    <w:rsid w:val="009E6031"/>
    <w:rsid w:val="009E609B"/>
    <w:rsid w:val="009E64EC"/>
    <w:rsid w:val="009E662A"/>
    <w:rsid w:val="009E66F1"/>
    <w:rsid w:val="009E7B20"/>
    <w:rsid w:val="009E7F43"/>
    <w:rsid w:val="009F03DE"/>
    <w:rsid w:val="009F0CD5"/>
    <w:rsid w:val="009F0DE8"/>
    <w:rsid w:val="009F1459"/>
    <w:rsid w:val="009F1A69"/>
    <w:rsid w:val="009F2302"/>
    <w:rsid w:val="009F2914"/>
    <w:rsid w:val="009F2EA0"/>
    <w:rsid w:val="009F35C4"/>
    <w:rsid w:val="009F397F"/>
    <w:rsid w:val="009F43D3"/>
    <w:rsid w:val="009F458E"/>
    <w:rsid w:val="009F4EA4"/>
    <w:rsid w:val="009F54BE"/>
    <w:rsid w:val="009F553A"/>
    <w:rsid w:val="009F5D09"/>
    <w:rsid w:val="009F5E2D"/>
    <w:rsid w:val="009F5EA6"/>
    <w:rsid w:val="009F6269"/>
    <w:rsid w:val="009F660F"/>
    <w:rsid w:val="009F7087"/>
    <w:rsid w:val="009F717A"/>
    <w:rsid w:val="009F72EE"/>
    <w:rsid w:val="009F73C3"/>
    <w:rsid w:val="009F74E0"/>
    <w:rsid w:val="009F7501"/>
    <w:rsid w:val="009F7795"/>
    <w:rsid w:val="009F7BCC"/>
    <w:rsid w:val="009F7FBE"/>
    <w:rsid w:val="00A00406"/>
    <w:rsid w:val="00A0045F"/>
    <w:rsid w:val="00A00778"/>
    <w:rsid w:val="00A00B84"/>
    <w:rsid w:val="00A00C71"/>
    <w:rsid w:val="00A00C87"/>
    <w:rsid w:val="00A00DE4"/>
    <w:rsid w:val="00A00E32"/>
    <w:rsid w:val="00A00EBB"/>
    <w:rsid w:val="00A0108F"/>
    <w:rsid w:val="00A01308"/>
    <w:rsid w:val="00A01694"/>
    <w:rsid w:val="00A01CFA"/>
    <w:rsid w:val="00A020D9"/>
    <w:rsid w:val="00A021DE"/>
    <w:rsid w:val="00A024FE"/>
    <w:rsid w:val="00A025A2"/>
    <w:rsid w:val="00A0289E"/>
    <w:rsid w:val="00A0290A"/>
    <w:rsid w:val="00A02AA5"/>
    <w:rsid w:val="00A02C91"/>
    <w:rsid w:val="00A02F51"/>
    <w:rsid w:val="00A03F0A"/>
    <w:rsid w:val="00A040E4"/>
    <w:rsid w:val="00A044A2"/>
    <w:rsid w:val="00A04763"/>
    <w:rsid w:val="00A04774"/>
    <w:rsid w:val="00A047AE"/>
    <w:rsid w:val="00A04DFE"/>
    <w:rsid w:val="00A05124"/>
    <w:rsid w:val="00A056AA"/>
    <w:rsid w:val="00A05986"/>
    <w:rsid w:val="00A059B0"/>
    <w:rsid w:val="00A05D3B"/>
    <w:rsid w:val="00A06438"/>
    <w:rsid w:val="00A0678A"/>
    <w:rsid w:val="00A0683C"/>
    <w:rsid w:val="00A06B35"/>
    <w:rsid w:val="00A06B7C"/>
    <w:rsid w:val="00A06C98"/>
    <w:rsid w:val="00A06DC0"/>
    <w:rsid w:val="00A06E73"/>
    <w:rsid w:val="00A07024"/>
    <w:rsid w:val="00A070CE"/>
    <w:rsid w:val="00A07EBA"/>
    <w:rsid w:val="00A10D5C"/>
    <w:rsid w:val="00A11228"/>
    <w:rsid w:val="00A1169A"/>
    <w:rsid w:val="00A12127"/>
    <w:rsid w:val="00A12552"/>
    <w:rsid w:val="00A12AFF"/>
    <w:rsid w:val="00A12FD8"/>
    <w:rsid w:val="00A131AE"/>
    <w:rsid w:val="00A139A0"/>
    <w:rsid w:val="00A14437"/>
    <w:rsid w:val="00A14B20"/>
    <w:rsid w:val="00A14F3C"/>
    <w:rsid w:val="00A15384"/>
    <w:rsid w:val="00A16852"/>
    <w:rsid w:val="00A1718F"/>
    <w:rsid w:val="00A17ACD"/>
    <w:rsid w:val="00A17F5C"/>
    <w:rsid w:val="00A20390"/>
    <w:rsid w:val="00A2068D"/>
    <w:rsid w:val="00A2089C"/>
    <w:rsid w:val="00A20A30"/>
    <w:rsid w:val="00A21C0E"/>
    <w:rsid w:val="00A22696"/>
    <w:rsid w:val="00A236F8"/>
    <w:rsid w:val="00A2375E"/>
    <w:rsid w:val="00A23934"/>
    <w:rsid w:val="00A23AC5"/>
    <w:rsid w:val="00A2476E"/>
    <w:rsid w:val="00A2491B"/>
    <w:rsid w:val="00A24E99"/>
    <w:rsid w:val="00A24F72"/>
    <w:rsid w:val="00A252A3"/>
    <w:rsid w:val="00A25742"/>
    <w:rsid w:val="00A25FEC"/>
    <w:rsid w:val="00A26378"/>
    <w:rsid w:val="00A263D6"/>
    <w:rsid w:val="00A2676E"/>
    <w:rsid w:val="00A27379"/>
    <w:rsid w:val="00A274AA"/>
    <w:rsid w:val="00A2789A"/>
    <w:rsid w:val="00A30111"/>
    <w:rsid w:val="00A3087F"/>
    <w:rsid w:val="00A30D93"/>
    <w:rsid w:val="00A31304"/>
    <w:rsid w:val="00A31493"/>
    <w:rsid w:val="00A318A6"/>
    <w:rsid w:val="00A31988"/>
    <w:rsid w:val="00A31A88"/>
    <w:rsid w:val="00A320F6"/>
    <w:rsid w:val="00A3259E"/>
    <w:rsid w:val="00A326F0"/>
    <w:rsid w:val="00A32C13"/>
    <w:rsid w:val="00A33085"/>
    <w:rsid w:val="00A331EA"/>
    <w:rsid w:val="00A3349A"/>
    <w:rsid w:val="00A337FD"/>
    <w:rsid w:val="00A33C7A"/>
    <w:rsid w:val="00A33E0F"/>
    <w:rsid w:val="00A34410"/>
    <w:rsid w:val="00A34483"/>
    <w:rsid w:val="00A344B9"/>
    <w:rsid w:val="00A349A5"/>
    <w:rsid w:val="00A34C56"/>
    <w:rsid w:val="00A358E5"/>
    <w:rsid w:val="00A359F6"/>
    <w:rsid w:val="00A35C43"/>
    <w:rsid w:val="00A35C5A"/>
    <w:rsid w:val="00A35EFA"/>
    <w:rsid w:val="00A36431"/>
    <w:rsid w:val="00A369AB"/>
    <w:rsid w:val="00A36FDE"/>
    <w:rsid w:val="00A37061"/>
    <w:rsid w:val="00A372C7"/>
    <w:rsid w:val="00A37569"/>
    <w:rsid w:val="00A408BD"/>
    <w:rsid w:val="00A4094F"/>
    <w:rsid w:val="00A40F52"/>
    <w:rsid w:val="00A410CD"/>
    <w:rsid w:val="00A41633"/>
    <w:rsid w:val="00A41C69"/>
    <w:rsid w:val="00A4235C"/>
    <w:rsid w:val="00A42EFE"/>
    <w:rsid w:val="00A42F86"/>
    <w:rsid w:val="00A43456"/>
    <w:rsid w:val="00A43DE5"/>
    <w:rsid w:val="00A44147"/>
    <w:rsid w:val="00A444A3"/>
    <w:rsid w:val="00A44DD2"/>
    <w:rsid w:val="00A44E6F"/>
    <w:rsid w:val="00A450A4"/>
    <w:rsid w:val="00A4513D"/>
    <w:rsid w:val="00A455F4"/>
    <w:rsid w:val="00A45A7A"/>
    <w:rsid w:val="00A45B01"/>
    <w:rsid w:val="00A45EE9"/>
    <w:rsid w:val="00A46175"/>
    <w:rsid w:val="00A46493"/>
    <w:rsid w:val="00A469F0"/>
    <w:rsid w:val="00A470A7"/>
    <w:rsid w:val="00A470FC"/>
    <w:rsid w:val="00A47233"/>
    <w:rsid w:val="00A47529"/>
    <w:rsid w:val="00A50294"/>
    <w:rsid w:val="00A50C64"/>
    <w:rsid w:val="00A50D39"/>
    <w:rsid w:val="00A50F05"/>
    <w:rsid w:val="00A51538"/>
    <w:rsid w:val="00A5231E"/>
    <w:rsid w:val="00A5238A"/>
    <w:rsid w:val="00A52BB1"/>
    <w:rsid w:val="00A52C87"/>
    <w:rsid w:val="00A53723"/>
    <w:rsid w:val="00A53877"/>
    <w:rsid w:val="00A53DFA"/>
    <w:rsid w:val="00A53EFE"/>
    <w:rsid w:val="00A53F9A"/>
    <w:rsid w:val="00A5421B"/>
    <w:rsid w:val="00A545B7"/>
    <w:rsid w:val="00A546E8"/>
    <w:rsid w:val="00A54AC3"/>
    <w:rsid w:val="00A54BB0"/>
    <w:rsid w:val="00A54E39"/>
    <w:rsid w:val="00A54F19"/>
    <w:rsid w:val="00A5573E"/>
    <w:rsid w:val="00A56630"/>
    <w:rsid w:val="00A57012"/>
    <w:rsid w:val="00A57163"/>
    <w:rsid w:val="00A5730A"/>
    <w:rsid w:val="00A573F4"/>
    <w:rsid w:val="00A574D7"/>
    <w:rsid w:val="00A577EC"/>
    <w:rsid w:val="00A6005F"/>
    <w:rsid w:val="00A6033B"/>
    <w:rsid w:val="00A60A2C"/>
    <w:rsid w:val="00A60B5E"/>
    <w:rsid w:val="00A61045"/>
    <w:rsid w:val="00A618E8"/>
    <w:rsid w:val="00A618FC"/>
    <w:rsid w:val="00A61EB2"/>
    <w:rsid w:val="00A61EB9"/>
    <w:rsid w:val="00A622A6"/>
    <w:rsid w:val="00A6298F"/>
    <w:rsid w:val="00A62A8B"/>
    <w:rsid w:val="00A634A4"/>
    <w:rsid w:val="00A6393D"/>
    <w:rsid w:val="00A63BE2"/>
    <w:rsid w:val="00A63D0A"/>
    <w:rsid w:val="00A65667"/>
    <w:rsid w:val="00A667AC"/>
    <w:rsid w:val="00A6720F"/>
    <w:rsid w:val="00A6793D"/>
    <w:rsid w:val="00A7098F"/>
    <w:rsid w:val="00A70BFF"/>
    <w:rsid w:val="00A710E5"/>
    <w:rsid w:val="00A71157"/>
    <w:rsid w:val="00A712C6"/>
    <w:rsid w:val="00A7140C"/>
    <w:rsid w:val="00A71D0F"/>
    <w:rsid w:val="00A72012"/>
    <w:rsid w:val="00A72151"/>
    <w:rsid w:val="00A72512"/>
    <w:rsid w:val="00A72858"/>
    <w:rsid w:val="00A729BD"/>
    <w:rsid w:val="00A72D69"/>
    <w:rsid w:val="00A732CA"/>
    <w:rsid w:val="00A73B46"/>
    <w:rsid w:val="00A73C28"/>
    <w:rsid w:val="00A74129"/>
    <w:rsid w:val="00A7502A"/>
    <w:rsid w:val="00A756C1"/>
    <w:rsid w:val="00A75BA7"/>
    <w:rsid w:val="00A771E5"/>
    <w:rsid w:val="00A774D7"/>
    <w:rsid w:val="00A7754C"/>
    <w:rsid w:val="00A77B94"/>
    <w:rsid w:val="00A804A3"/>
    <w:rsid w:val="00A8179C"/>
    <w:rsid w:val="00A818B8"/>
    <w:rsid w:val="00A81B3D"/>
    <w:rsid w:val="00A81C3E"/>
    <w:rsid w:val="00A81D47"/>
    <w:rsid w:val="00A81E46"/>
    <w:rsid w:val="00A8204F"/>
    <w:rsid w:val="00A82191"/>
    <w:rsid w:val="00A82363"/>
    <w:rsid w:val="00A83653"/>
    <w:rsid w:val="00A83C09"/>
    <w:rsid w:val="00A83C18"/>
    <w:rsid w:val="00A840EE"/>
    <w:rsid w:val="00A84184"/>
    <w:rsid w:val="00A845E9"/>
    <w:rsid w:val="00A849E1"/>
    <w:rsid w:val="00A84B79"/>
    <w:rsid w:val="00A84D44"/>
    <w:rsid w:val="00A84E28"/>
    <w:rsid w:val="00A850C2"/>
    <w:rsid w:val="00A85E39"/>
    <w:rsid w:val="00A85F53"/>
    <w:rsid w:val="00A85FC5"/>
    <w:rsid w:val="00A86501"/>
    <w:rsid w:val="00A8681C"/>
    <w:rsid w:val="00A87269"/>
    <w:rsid w:val="00A87CCB"/>
    <w:rsid w:val="00A87EB9"/>
    <w:rsid w:val="00A90451"/>
    <w:rsid w:val="00A90B97"/>
    <w:rsid w:val="00A91082"/>
    <w:rsid w:val="00A9132E"/>
    <w:rsid w:val="00A91484"/>
    <w:rsid w:val="00A915EE"/>
    <w:rsid w:val="00A91749"/>
    <w:rsid w:val="00A91FAD"/>
    <w:rsid w:val="00A92FFC"/>
    <w:rsid w:val="00A9311D"/>
    <w:rsid w:val="00A93138"/>
    <w:rsid w:val="00A934C2"/>
    <w:rsid w:val="00A93AA8"/>
    <w:rsid w:val="00A943FA"/>
    <w:rsid w:val="00A945D6"/>
    <w:rsid w:val="00A94D16"/>
    <w:rsid w:val="00A9564C"/>
    <w:rsid w:val="00A95692"/>
    <w:rsid w:val="00A95782"/>
    <w:rsid w:val="00A958FD"/>
    <w:rsid w:val="00A9638A"/>
    <w:rsid w:val="00A96AD6"/>
    <w:rsid w:val="00A96FC8"/>
    <w:rsid w:val="00A97688"/>
    <w:rsid w:val="00A978E8"/>
    <w:rsid w:val="00A97B07"/>
    <w:rsid w:val="00AA068C"/>
    <w:rsid w:val="00AA1AC8"/>
    <w:rsid w:val="00AA20A5"/>
    <w:rsid w:val="00AA239D"/>
    <w:rsid w:val="00AA2522"/>
    <w:rsid w:val="00AA2559"/>
    <w:rsid w:val="00AA2D05"/>
    <w:rsid w:val="00AA3180"/>
    <w:rsid w:val="00AA332C"/>
    <w:rsid w:val="00AA35EE"/>
    <w:rsid w:val="00AA4396"/>
    <w:rsid w:val="00AA45CA"/>
    <w:rsid w:val="00AA53F8"/>
    <w:rsid w:val="00AA5DC0"/>
    <w:rsid w:val="00AA5E4A"/>
    <w:rsid w:val="00AA5F7A"/>
    <w:rsid w:val="00AA628B"/>
    <w:rsid w:val="00AA6796"/>
    <w:rsid w:val="00AA6D1B"/>
    <w:rsid w:val="00AA6E59"/>
    <w:rsid w:val="00AA73CA"/>
    <w:rsid w:val="00AA7719"/>
    <w:rsid w:val="00AA7C06"/>
    <w:rsid w:val="00AB0BC1"/>
    <w:rsid w:val="00AB0BDA"/>
    <w:rsid w:val="00AB0DF0"/>
    <w:rsid w:val="00AB0F98"/>
    <w:rsid w:val="00AB122B"/>
    <w:rsid w:val="00AB1479"/>
    <w:rsid w:val="00AB1A4C"/>
    <w:rsid w:val="00AB2A89"/>
    <w:rsid w:val="00AB2C77"/>
    <w:rsid w:val="00AB3400"/>
    <w:rsid w:val="00AB3AF6"/>
    <w:rsid w:val="00AB418A"/>
    <w:rsid w:val="00AB43D6"/>
    <w:rsid w:val="00AB5677"/>
    <w:rsid w:val="00AB56C7"/>
    <w:rsid w:val="00AB657F"/>
    <w:rsid w:val="00AB6739"/>
    <w:rsid w:val="00AB6A74"/>
    <w:rsid w:val="00AB6FA8"/>
    <w:rsid w:val="00AB732D"/>
    <w:rsid w:val="00AB7C9F"/>
    <w:rsid w:val="00AC0217"/>
    <w:rsid w:val="00AC0307"/>
    <w:rsid w:val="00AC09F7"/>
    <w:rsid w:val="00AC10FA"/>
    <w:rsid w:val="00AC1113"/>
    <w:rsid w:val="00AC12AD"/>
    <w:rsid w:val="00AC1364"/>
    <w:rsid w:val="00AC13CA"/>
    <w:rsid w:val="00AC18CE"/>
    <w:rsid w:val="00AC208A"/>
    <w:rsid w:val="00AC2181"/>
    <w:rsid w:val="00AC2C15"/>
    <w:rsid w:val="00AC2C41"/>
    <w:rsid w:val="00AC2D81"/>
    <w:rsid w:val="00AC2D98"/>
    <w:rsid w:val="00AC31C3"/>
    <w:rsid w:val="00AC47CA"/>
    <w:rsid w:val="00AC4BD8"/>
    <w:rsid w:val="00AC55DC"/>
    <w:rsid w:val="00AC596F"/>
    <w:rsid w:val="00AC5CBE"/>
    <w:rsid w:val="00AC61AD"/>
    <w:rsid w:val="00AC62E4"/>
    <w:rsid w:val="00AC6784"/>
    <w:rsid w:val="00AC6F25"/>
    <w:rsid w:val="00AC6FFB"/>
    <w:rsid w:val="00AC76A7"/>
    <w:rsid w:val="00AC7CAB"/>
    <w:rsid w:val="00AD0936"/>
    <w:rsid w:val="00AD09A8"/>
    <w:rsid w:val="00AD0ECF"/>
    <w:rsid w:val="00AD1D62"/>
    <w:rsid w:val="00AD29B0"/>
    <w:rsid w:val="00AD2BC8"/>
    <w:rsid w:val="00AD2BD5"/>
    <w:rsid w:val="00AD2F21"/>
    <w:rsid w:val="00AD3E7C"/>
    <w:rsid w:val="00AD46BC"/>
    <w:rsid w:val="00AD4814"/>
    <w:rsid w:val="00AD5D3E"/>
    <w:rsid w:val="00AD5E21"/>
    <w:rsid w:val="00AD6689"/>
    <w:rsid w:val="00AD6E38"/>
    <w:rsid w:val="00AD6ECB"/>
    <w:rsid w:val="00AD701E"/>
    <w:rsid w:val="00AD77F9"/>
    <w:rsid w:val="00AD7A58"/>
    <w:rsid w:val="00AD7B23"/>
    <w:rsid w:val="00AE03BE"/>
    <w:rsid w:val="00AE0D0A"/>
    <w:rsid w:val="00AE15F2"/>
    <w:rsid w:val="00AE1848"/>
    <w:rsid w:val="00AE1A23"/>
    <w:rsid w:val="00AE1D5D"/>
    <w:rsid w:val="00AE1E94"/>
    <w:rsid w:val="00AE2C2D"/>
    <w:rsid w:val="00AE3155"/>
    <w:rsid w:val="00AE3220"/>
    <w:rsid w:val="00AE3C7D"/>
    <w:rsid w:val="00AE3F20"/>
    <w:rsid w:val="00AE56BD"/>
    <w:rsid w:val="00AE5DDC"/>
    <w:rsid w:val="00AE6502"/>
    <w:rsid w:val="00AE6761"/>
    <w:rsid w:val="00AE6A72"/>
    <w:rsid w:val="00AE6DDB"/>
    <w:rsid w:val="00AE6E64"/>
    <w:rsid w:val="00AE78B5"/>
    <w:rsid w:val="00AE7964"/>
    <w:rsid w:val="00AF05FC"/>
    <w:rsid w:val="00AF0744"/>
    <w:rsid w:val="00AF0821"/>
    <w:rsid w:val="00AF0969"/>
    <w:rsid w:val="00AF0BBC"/>
    <w:rsid w:val="00AF196C"/>
    <w:rsid w:val="00AF1DD0"/>
    <w:rsid w:val="00AF2116"/>
    <w:rsid w:val="00AF2E77"/>
    <w:rsid w:val="00AF30C1"/>
    <w:rsid w:val="00AF34AE"/>
    <w:rsid w:val="00AF3887"/>
    <w:rsid w:val="00AF3C8B"/>
    <w:rsid w:val="00AF3F49"/>
    <w:rsid w:val="00AF4132"/>
    <w:rsid w:val="00AF4166"/>
    <w:rsid w:val="00AF4989"/>
    <w:rsid w:val="00AF4BBD"/>
    <w:rsid w:val="00AF4D2B"/>
    <w:rsid w:val="00AF59B2"/>
    <w:rsid w:val="00AF59FD"/>
    <w:rsid w:val="00AF5B62"/>
    <w:rsid w:val="00AF6177"/>
    <w:rsid w:val="00AF6186"/>
    <w:rsid w:val="00AF67C4"/>
    <w:rsid w:val="00AF6955"/>
    <w:rsid w:val="00AF6DA9"/>
    <w:rsid w:val="00AF7022"/>
    <w:rsid w:val="00AF7FE1"/>
    <w:rsid w:val="00B00A5D"/>
    <w:rsid w:val="00B00EC7"/>
    <w:rsid w:val="00B00F0B"/>
    <w:rsid w:val="00B018EC"/>
    <w:rsid w:val="00B01B07"/>
    <w:rsid w:val="00B01E54"/>
    <w:rsid w:val="00B01FAF"/>
    <w:rsid w:val="00B024A1"/>
    <w:rsid w:val="00B02EAB"/>
    <w:rsid w:val="00B02F49"/>
    <w:rsid w:val="00B038BC"/>
    <w:rsid w:val="00B03E4F"/>
    <w:rsid w:val="00B03FFE"/>
    <w:rsid w:val="00B04838"/>
    <w:rsid w:val="00B04C85"/>
    <w:rsid w:val="00B0520F"/>
    <w:rsid w:val="00B055E8"/>
    <w:rsid w:val="00B0624E"/>
    <w:rsid w:val="00B065F7"/>
    <w:rsid w:val="00B06A4D"/>
    <w:rsid w:val="00B06C70"/>
    <w:rsid w:val="00B06DAB"/>
    <w:rsid w:val="00B07077"/>
    <w:rsid w:val="00B074E6"/>
    <w:rsid w:val="00B1098B"/>
    <w:rsid w:val="00B113FF"/>
    <w:rsid w:val="00B1223F"/>
    <w:rsid w:val="00B12714"/>
    <w:rsid w:val="00B12BCD"/>
    <w:rsid w:val="00B1312B"/>
    <w:rsid w:val="00B13ECF"/>
    <w:rsid w:val="00B143E6"/>
    <w:rsid w:val="00B1472C"/>
    <w:rsid w:val="00B147D6"/>
    <w:rsid w:val="00B14E39"/>
    <w:rsid w:val="00B152EB"/>
    <w:rsid w:val="00B157EB"/>
    <w:rsid w:val="00B1594D"/>
    <w:rsid w:val="00B15D08"/>
    <w:rsid w:val="00B15DE4"/>
    <w:rsid w:val="00B1611F"/>
    <w:rsid w:val="00B16276"/>
    <w:rsid w:val="00B16293"/>
    <w:rsid w:val="00B16454"/>
    <w:rsid w:val="00B1724B"/>
    <w:rsid w:val="00B1747A"/>
    <w:rsid w:val="00B1769B"/>
    <w:rsid w:val="00B17A9C"/>
    <w:rsid w:val="00B200D6"/>
    <w:rsid w:val="00B203BF"/>
    <w:rsid w:val="00B204BD"/>
    <w:rsid w:val="00B2055E"/>
    <w:rsid w:val="00B2084A"/>
    <w:rsid w:val="00B20852"/>
    <w:rsid w:val="00B209F1"/>
    <w:rsid w:val="00B20F4A"/>
    <w:rsid w:val="00B21709"/>
    <w:rsid w:val="00B21940"/>
    <w:rsid w:val="00B21B7E"/>
    <w:rsid w:val="00B21BCA"/>
    <w:rsid w:val="00B21EA7"/>
    <w:rsid w:val="00B22383"/>
    <w:rsid w:val="00B22886"/>
    <w:rsid w:val="00B228CD"/>
    <w:rsid w:val="00B22FF6"/>
    <w:rsid w:val="00B233BF"/>
    <w:rsid w:val="00B2360B"/>
    <w:rsid w:val="00B23B95"/>
    <w:rsid w:val="00B23C2E"/>
    <w:rsid w:val="00B23E8A"/>
    <w:rsid w:val="00B23EC1"/>
    <w:rsid w:val="00B2437C"/>
    <w:rsid w:val="00B244DA"/>
    <w:rsid w:val="00B2594C"/>
    <w:rsid w:val="00B25D83"/>
    <w:rsid w:val="00B2662E"/>
    <w:rsid w:val="00B27417"/>
    <w:rsid w:val="00B27503"/>
    <w:rsid w:val="00B27965"/>
    <w:rsid w:val="00B27C8A"/>
    <w:rsid w:val="00B30876"/>
    <w:rsid w:val="00B312E7"/>
    <w:rsid w:val="00B31405"/>
    <w:rsid w:val="00B31C09"/>
    <w:rsid w:val="00B32636"/>
    <w:rsid w:val="00B3282E"/>
    <w:rsid w:val="00B329B3"/>
    <w:rsid w:val="00B33450"/>
    <w:rsid w:val="00B33CAB"/>
    <w:rsid w:val="00B342E7"/>
    <w:rsid w:val="00B34AEC"/>
    <w:rsid w:val="00B34EAF"/>
    <w:rsid w:val="00B35120"/>
    <w:rsid w:val="00B36290"/>
    <w:rsid w:val="00B3661A"/>
    <w:rsid w:val="00B366DB"/>
    <w:rsid w:val="00B3710D"/>
    <w:rsid w:val="00B37178"/>
    <w:rsid w:val="00B3775F"/>
    <w:rsid w:val="00B37B81"/>
    <w:rsid w:val="00B37D8F"/>
    <w:rsid w:val="00B37DCB"/>
    <w:rsid w:val="00B37E1F"/>
    <w:rsid w:val="00B4009C"/>
    <w:rsid w:val="00B40B1A"/>
    <w:rsid w:val="00B41511"/>
    <w:rsid w:val="00B41B4D"/>
    <w:rsid w:val="00B41FA3"/>
    <w:rsid w:val="00B42273"/>
    <w:rsid w:val="00B429D0"/>
    <w:rsid w:val="00B42DE0"/>
    <w:rsid w:val="00B42E81"/>
    <w:rsid w:val="00B42F3A"/>
    <w:rsid w:val="00B433FB"/>
    <w:rsid w:val="00B43487"/>
    <w:rsid w:val="00B4357B"/>
    <w:rsid w:val="00B43836"/>
    <w:rsid w:val="00B43A1F"/>
    <w:rsid w:val="00B43F96"/>
    <w:rsid w:val="00B44FE7"/>
    <w:rsid w:val="00B451A7"/>
    <w:rsid w:val="00B45AD2"/>
    <w:rsid w:val="00B45BEF"/>
    <w:rsid w:val="00B45C7B"/>
    <w:rsid w:val="00B46330"/>
    <w:rsid w:val="00B463AC"/>
    <w:rsid w:val="00B4673C"/>
    <w:rsid w:val="00B46C34"/>
    <w:rsid w:val="00B47229"/>
    <w:rsid w:val="00B4752D"/>
    <w:rsid w:val="00B5019B"/>
    <w:rsid w:val="00B511E0"/>
    <w:rsid w:val="00B51A22"/>
    <w:rsid w:val="00B51AF3"/>
    <w:rsid w:val="00B51C3E"/>
    <w:rsid w:val="00B520FF"/>
    <w:rsid w:val="00B52AE1"/>
    <w:rsid w:val="00B531CC"/>
    <w:rsid w:val="00B536FF"/>
    <w:rsid w:val="00B53C66"/>
    <w:rsid w:val="00B54AA0"/>
    <w:rsid w:val="00B5517E"/>
    <w:rsid w:val="00B555D8"/>
    <w:rsid w:val="00B55A72"/>
    <w:rsid w:val="00B5618B"/>
    <w:rsid w:val="00B563EE"/>
    <w:rsid w:val="00B56ADB"/>
    <w:rsid w:val="00B56B57"/>
    <w:rsid w:val="00B56B7A"/>
    <w:rsid w:val="00B57AC9"/>
    <w:rsid w:val="00B57B7F"/>
    <w:rsid w:val="00B600E4"/>
    <w:rsid w:val="00B60A32"/>
    <w:rsid w:val="00B61D04"/>
    <w:rsid w:val="00B6211F"/>
    <w:rsid w:val="00B621CD"/>
    <w:rsid w:val="00B6225D"/>
    <w:rsid w:val="00B62B48"/>
    <w:rsid w:val="00B62CB9"/>
    <w:rsid w:val="00B62FED"/>
    <w:rsid w:val="00B63094"/>
    <w:rsid w:val="00B6338F"/>
    <w:rsid w:val="00B637F5"/>
    <w:rsid w:val="00B63B88"/>
    <w:rsid w:val="00B63F3A"/>
    <w:rsid w:val="00B64405"/>
    <w:rsid w:val="00B645EE"/>
    <w:rsid w:val="00B6467E"/>
    <w:rsid w:val="00B646E6"/>
    <w:rsid w:val="00B6484C"/>
    <w:rsid w:val="00B649B8"/>
    <w:rsid w:val="00B64A4F"/>
    <w:rsid w:val="00B64CF6"/>
    <w:rsid w:val="00B64D81"/>
    <w:rsid w:val="00B64EB5"/>
    <w:rsid w:val="00B659C3"/>
    <w:rsid w:val="00B66558"/>
    <w:rsid w:val="00B66982"/>
    <w:rsid w:val="00B6709B"/>
    <w:rsid w:val="00B67318"/>
    <w:rsid w:val="00B6794F"/>
    <w:rsid w:val="00B67BE6"/>
    <w:rsid w:val="00B704E5"/>
    <w:rsid w:val="00B7098C"/>
    <w:rsid w:val="00B70BE3"/>
    <w:rsid w:val="00B70CF0"/>
    <w:rsid w:val="00B70F8F"/>
    <w:rsid w:val="00B71274"/>
    <w:rsid w:val="00B712DA"/>
    <w:rsid w:val="00B714DF"/>
    <w:rsid w:val="00B71F1D"/>
    <w:rsid w:val="00B72062"/>
    <w:rsid w:val="00B72235"/>
    <w:rsid w:val="00B72809"/>
    <w:rsid w:val="00B72B2D"/>
    <w:rsid w:val="00B7321F"/>
    <w:rsid w:val="00B736DE"/>
    <w:rsid w:val="00B73B4D"/>
    <w:rsid w:val="00B741CA"/>
    <w:rsid w:val="00B7485A"/>
    <w:rsid w:val="00B74A36"/>
    <w:rsid w:val="00B750B3"/>
    <w:rsid w:val="00B75218"/>
    <w:rsid w:val="00B75340"/>
    <w:rsid w:val="00B7575F"/>
    <w:rsid w:val="00B75BFE"/>
    <w:rsid w:val="00B75E1B"/>
    <w:rsid w:val="00B761BD"/>
    <w:rsid w:val="00B764E0"/>
    <w:rsid w:val="00B765B4"/>
    <w:rsid w:val="00B76ECE"/>
    <w:rsid w:val="00B77352"/>
    <w:rsid w:val="00B7735B"/>
    <w:rsid w:val="00B77574"/>
    <w:rsid w:val="00B80365"/>
    <w:rsid w:val="00B806CE"/>
    <w:rsid w:val="00B81735"/>
    <w:rsid w:val="00B81783"/>
    <w:rsid w:val="00B82382"/>
    <w:rsid w:val="00B82D8C"/>
    <w:rsid w:val="00B82F75"/>
    <w:rsid w:val="00B832B2"/>
    <w:rsid w:val="00B836A0"/>
    <w:rsid w:val="00B83C11"/>
    <w:rsid w:val="00B83F12"/>
    <w:rsid w:val="00B840E8"/>
    <w:rsid w:val="00B84317"/>
    <w:rsid w:val="00B84710"/>
    <w:rsid w:val="00B849C3"/>
    <w:rsid w:val="00B84CF2"/>
    <w:rsid w:val="00B84D44"/>
    <w:rsid w:val="00B84DDF"/>
    <w:rsid w:val="00B8546C"/>
    <w:rsid w:val="00B854E5"/>
    <w:rsid w:val="00B859A6"/>
    <w:rsid w:val="00B85D47"/>
    <w:rsid w:val="00B85E3A"/>
    <w:rsid w:val="00B86082"/>
    <w:rsid w:val="00B86530"/>
    <w:rsid w:val="00B86661"/>
    <w:rsid w:val="00B866BD"/>
    <w:rsid w:val="00B86991"/>
    <w:rsid w:val="00B86C2B"/>
    <w:rsid w:val="00B86D02"/>
    <w:rsid w:val="00B86EA3"/>
    <w:rsid w:val="00B876CC"/>
    <w:rsid w:val="00B87D90"/>
    <w:rsid w:val="00B87FBF"/>
    <w:rsid w:val="00B90853"/>
    <w:rsid w:val="00B9188D"/>
    <w:rsid w:val="00B91963"/>
    <w:rsid w:val="00B919AC"/>
    <w:rsid w:val="00B91CD0"/>
    <w:rsid w:val="00B91D20"/>
    <w:rsid w:val="00B92011"/>
    <w:rsid w:val="00B921CF"/>
    <w:rsid w:val="00B9241D"/>
    <w:rsid w:val="00B92946"/>
    <w:rsid w:val="00B92DDB"/>
    <w:rsid w:val="00B93486"/>
    <w:rsid w:val="00B936FD"/>
    <w:rsid w:val="00B937C3"/>
    <w:rsid w:val="00B93CA3"/>
    <w:rsid w:val="00B94CF2"/>
    <w:rsid w:val="00B951C6"/>
    <w:rsid w:val="00B95283"/>
    <w:rsid w:val="00B9555D"/>
    <w:rsid w:val="00B95B57"/>
    <w:rsid w:val="00B95B8E"/>
    <w:rsid w:val="00B95BB9"/>
    <w:rsid w:val="00B95D38"/>
    <w:rsid w:val="00B96223"/>
    <w:rsid w:val="00B969DB"/>
    <w:rsid w:val="00B96B60"/>
    <w:rsid w:val="00B96DC6"/>
    <w:rsid w:val="00B97019"/>
    <w:rsid w:val="00B97342"/>
    <w:rsid w:val="00B97653"/>
    <w:rsid w:val="00B978FA"/>
    <w:rsid w:val="00BA0785"/>
    <w:rsid w:val="00BA08FD"/>
    <w:rsid w:val="00BA0AE4"/>
    <w:rsid w:val="00BA0F8D"/>
    <w:rsid w:val="00BA122C"/>
    <w:rsid w:val="00BA13E7"/>
    <w:rsid w:val="00BA1761"/>
    <w:rsid w:val="00BA197D"/>
    <w:rsid w:val="00BA1B30"/>
    <w:rsid w:val="00BA1E6C"/>
    <w:rsid w:val="00BA2674"/>
    <w:rsid w:val="00BA276E"/>
    <w:rsid w:val="00BA3796"/>
    <w:rsid w:val="00BA3885"/>
    <w:rsid w:val="00BA3AE1"/>
    <w:rsid w:val="00BA3C37"/>
    <w:rsid w:val="00BA3E0F"/>
    <w:rsid w:val="00BA407A"/>
    <w:rsid w:val="00BA42C5"/>
    <w:rsid w:val="00BA4B57"/>
    <w:rsid w:val="00BA4B7A"/>
    <w:rsid w:val="00BA5090"/>
    <w:rsid w:val="00BA536D"/>
    <w:rsid w:val="00BA58A9"/>
    <w:rsid w:val="00BA5D91"/>
    <w:rsid w:val="00BA5E13"/>
    <w:rsid w:val="00BA6961"/>
    <w:rsid w:val="00BA6A89"/>
    <w:rsid w:val="00BA7030"/>
    <w:rsid w:val="00BA720D"/>
    <w:rsid w:val="00BA73C0"/>
    <w:rsid w:val="00BA76AB"/>
    <w:rsid w:val="00BA7D7F"/>
    <w:rsid w:val="00BB0076"/>
    <w:rsid w:val="00BB04C0"/>
    <w:rsid w:val="00BB0606"/>
    <w:rsid w:val="00BB071E"/>
    <w:rsid w:val="00BB0817"/>
    <w:rsid w:val="00BB0971"/>
    <w:rsid w:val="00BB09C6"/>
    <w:rsid w:val="00BB0D19"/>
    <w:rsid w:val="00BB0D6D"/>
    <w:rsid w:val="00BB0E5B"/>
    <w:rsid w:val="00BB0F04"/>
    <w:rsid w:val="00BB16CD"/>
    <w:rsid w:val="00BB16FD"/>
    <w:rsid w:val="00BB1A30"/>
    <w:rsid w:val="00BB249B"/>
    <w:rsid w:val="00BB2C63"/>
    <w:rsid w:val="00BB2E26"/>
    <w:rsid w:val="00BB35C5"/>
    <w:rsid w:val="00BB37D8"/>
    <w:rsid w:val="00BB3906"/>
    <w:rsid w:val="00BB3AA5"/>
    <w:rsid w:val="00BB3B07"/>
    <w:rsid w:val="00BB3EAF"/>
    <w:rsid w:val="00BB440A"/>
    <w:rsid w:val="00BB4685"/>
    <w:rsid w:val="00BB51F3"/>
    <w:rsid w:val="00BB5557"/>
    <w:rsid w:val="00BB5578"/>
    <w:rsid w:val="00BB56D1"/>
    <w:rsid w:val="00BB6AB6"/>
    <w:rsid w:val="00BB7443"/>
    <w:rsid w:val="00BB7500"/>
    <w:rsid w:val="00BC0562"/>
    <w:rsid w:val="00BC07F9"/>
    <w:rsid w:val="00BC10F5"/>
    <w:rsid w:val="00BC1827"/>
    <w:rsid w:val="00BC1AF7"/>
    <w:rsid w:val="00BC1CB7"/>
    <w:rsid w:val="00BC2B70"/>
    <w:rsid w:val="00BC2B93"/>
    <w:rsid w:val="00BC2C43"/>
    <w:rsid w:val="00BC2C62"/>
    <w:rsid w:val="00BC3088"/>
    <w:rsid w:val="00BC41AE"/>
    <w:rsid w:val="00BC4AAA"/>
    <w:rsid w:val="00BC4C69"/>
    <w:rsid w:val="00BC4FA9"/>
    <w:rsid w:val="00BC55B0"/>
    <w:rsid w:val="00BC5739"/>
    <w:rsid w:val="00BC5966"/>
    <w:rsid w:val="00BC62AB"/>
    <w:rsid w:val="00BC6681"/>
    <w:rsid w:val="00BC66E8"/>
    <w:rsid w:val="00BC6E8A"/>
    <w:rsid w:val="00BC79BD"/>
    <w:rsid w:val="00BC7ABF"/>
    <w:rsid w:val="00BC7BB2"/>
    <w:rsid w:val="00BC7ED9"/>
    <w:rsid w:val="00BD02B7"/>
    <w:rsid w:val="00BD0404"/>
    <w:rsid w:val="00BD0DF8"/>
    <w:rsid w:val="00BD216B"/>
    <w:rsid w:val="00BD2B0F"/>
    <w:rsid w:val="00BD2F25"/>
    <w:rsid w:val="00BD3A50"/>
    <w:rsid w:val="00BD3E94"/>
    <w:rsid w:val="00BD41FE"/>
    <w:rsid w:val="00BD503A"/>
    <w:rsid w:val="00BD557F"/>
    <w:rsid w:val="00BD5C87"/>
    <w:rsid w:val="00BD5D55"/>
    <w:rsid w:val="00BD649A"/>
    <w:rsid w:val="00BD69E3"/>
    <w:rsid w:val="00BD6A82"/>
    <w:rsid w:val="00BD6B48"/>
    <w:rsid w:val="00BD7532"/>
    <w:rsid w:val="00BD7A46"/>
    <w:rsid w:val="00BD7C5F"/>
    <w:rsid w:val="00BE01E4"/>
    <w:rsid w:val="00BE0FBA"/>
    <w:rsid w:val="00BE123F"/>
    <w:rsid w:val="00BE190C"/>
    <w:rsid w:val="00BE1FBD"/>
    <w:rsid w:val="00BE1FE8"/>
    <w:rsid w:val="00BE21F2"/>
    <w:rsid w:val="00BE2DB0"/>
    <w:rsid w:val="00BE3042"/>
    <w:rsid w:val="00BE31FB"/>
    <w:rsid w:val="00BE3335"/>
    <w:rsid w:val="00BE3822"/>
    <w:rsid w:val="00BE38B3"/>
    <w:rsid w:val="00BE3934"/>
    <w:rsid w:val="00BE40D2"/>
    <w:rsid w:val="00BE445F"/>
    <w:rsid w:val="00BE46B1"/>
    <w:rsid w:val="00BE476C"/>
    <w:rsid w:val="00BE4843"/>
    <w:rsid w:val="00BE488E"/>
    <w:rsid w:val="00BE4A78"/>
    <w:rsid w:val="00BE52DC"/>
    <w:rsid w:val="00BE599D"/>
    <w:rsid w:val="00BE63E4"/>
    <w:rsid w:val="00BE64C0"/>
    <w:rsid w:val="00BE6B31"/>
    <w:rsid w:val="00BE7102"/>
    <w:rsid w:val="00BE7109"/>
    <w:rsid w:val="00BE7271"/>
    <w:rsid w:val="00BE76A8"/>
    <w:rsid w:val="00BE7CD8"/>
    <w:rsid w:val="00BE7D96"/>
    <w:rsid w:val="00BF078A"/>
    <w:rsid w:val="00BF157E"/>
    <w:rsid w:val="00BF1704"/>
    <w:rsid w:val="00BF1713"/>
    <w:rsid w:val="00BF17E8"/>
    <w:rsid w:val="00BF187A"/>
    <w:rsid w:val="00BF22B3"/>
    <w:rsid w:val="00BF2C08"/>
    <w:rsid w:val="00BF3025"/>
    <w:rsid w:val="00BF336F"/>
    <w:rsid w:val="00BF3BAC"/>
    <w:rsid w:val="00BF3C2B"/>
    <w:rsid w:val="00BF3CC7"/>
    <w:rsid w:val="00BF425D"/>
    <w:rsid w:val="00BF44CA"/>
    <w:rsid w:val="00BF4767"/>
    <w:rsid w:val="00BF4CF7"/>
    <w:rsid w:val="00BF506A"/>
    <w:rsid w:val="00BF5171"/>
    <w:rsid w:val="00BF52D3"/>
    <w:rsid w:val="00BF558D"/>
    <w:rsid w:val="00BF5B37"/>
    <w:rsid w:val="00BF6173"/>
    <w:rsid w:val="00BF78A5"/>
    <w:rsid w:val="00BF7D85"/>
    <w:rsid w:val="00C00303"/>
    <w:rsid w:val="00C00881"/>
    <w:rsid w:val="00C008A8"/>
    <w:rsid w:val="00C009B7"/>
    <w:rsid w:val="00C01171"/>
    <w:rsid w:val="00C0117E"/>
    <w:rsid w:val="00C013BA"/>
    <w:rsid w:val="00C01913"/>
    <w:rsid w:val="00C01CA4"/>
    <w:rsid w:val="00C01E59"/>
    <w:rsid w:val="00C02581"/>
    <w:rsid w:val="00C0317A"/>
    <w:rsid w:val="00C03579"/>
    <w:rsid w:val="00C03687"/>
    <w:rsid w:val="00C037A0"/>
    <w:rsid w:val="00C03811"/>
    <w:rsid w:val="00C0384E"/>
    <w:rsid w:val="00C0385D"/>
    <w:rsid w:val="00C03EFF"/>
    <w:rsid w:val="00C03F4E"/>
    <w:rsid w:val="00C040A8"/>
    <w:rsid w:val="00C04ABD"/>
    <w:rsid w:val="00C04B6D"/>
    <w:rsid w:val="00C04C47"/>
    <w:rsid w:val="00C04D25"/>
    <w:rsid w:val="00C04DDB"/>
    <w:rsid w:val="00C050C7"/>
    <w:rsid w:val="00C05483"/>
    <w:rsid w:val="00C06078"/>
    <w:rsid w:val="00C062FC"/>
    <w:rsid w:val="00C06517"/>
    <w:rsid w:val="00C0678D"/>
    <w:rsid w:val="00C0706C"/>
    <w:rsid w:val="00C0715B"/>
    <w:rsid w:val="00C072AA"/>
    <w:rsid w:val="00C07341"/>
    <w:rsid w:val="00C073C0"/>
    <w:rsid w:val="00C10AFD"/>
    <w:rsid w:val="00C10D98"/>
    <w:rsid w:val="00C10E55"/>
    <w:rsid w:val="00C111CF"/>
    <w:rsid w:val="00C1129A"/>
    <w:rsid w:val="00C114DE"/>
    <w:rsid w:val="00C12742"/>
    <w:rsid w:val="00C12E05"/>
    <w:rsid w:val="00C13ABB"/>
    <w:rsid w:val="00C13F64"/>
    <w:rsid w:val="00C14C5E"/>
    <w:rsid w:val="00C151EE"/>
    <w:rsid w:val="00C161AE"/>
    <w:rsid w:val="00C16A34"/>
    <w:rsid w:val="00C16B78"/>
    <w:rsid w:val="00C16E23"/>
    <w:rsid w:val="00C170A4"/>
    <w:rsid w:val="00C173CE"/>
    <w:rsid w:val="00C2006C"/>
    <w:rsid w:val="00C20914"/>
    <w:rsid w:val="00C2139B"/>
    <w:rsid w:val="00C214F8"/>
    <w:rsid w:val="00C21866"/>
    <w:rsid w:val="00C21B95"/>
    <w:rsid w:val="00C21E69"/>
    <w:rsid w:val="00C222E5"/>
    <w:rsid w:val="00C22FAA"/>
    <w:rsid w:val="00C2359E"/>
    <w:rsid w:val="00C241C4"/>
    <w:rsid w:val="00C244E5"/>
    <w:rsid w:val="00C24514"/>
    <w:rsid w:val="00C24745"/>
    <w:rsid w:val="00C24948"/>
    <w:rsid w:val="00C2499E"/>
    <w:rsid w:val="00C25245"/>
    <w:rsid w:val="00C252C2"/>
    <w:rsid w:val="00C256A9"/>
    <w:rsid w:val="00C257C2"/>
    <w:rsid w:val="00C25D24"/>
    <w:rsid w:val="00C269A2"/>
    <w:rsid w:val="00C26A35"/>
    <w:rsid w:val="00C26B4D"/>
    <w:rsid w:val="00C27293"/>
    <w:rsid w:val="00C27691"/>
    <w:rsid w:val="00C27E69"/>
    <w:rsid w:val="00C30654"/>
    <w:rsid w:val="00C30D74"/>
    <w:rsid w:val="00C31034"/>
    <w:rsid w:val="00C3122E"/>
    <w:rsid w:val="00C3131F"/>
    <w:rsid w:val="00C314DD"/>
    <w:rsid w:val="00C3183C"/>
    <w:rsid w:val="00C318D9"/>
    <w:rsid w:val="00C31A63"/>
    <w:rsid w:val="00C31C2F"/>
    <w:rsid w:val="00C320E7"/>
    <w:rsid w:val="00C323F6"/>
    <w:rsid w:val="00C32E47"/>
    <w:rsid w:val="00C32E78"/>
    <w:rsid w:val="00C32FD4"/>
    <w:rsid w:val="00C334D2"/>
    <w:rsid w:val="00C336EF"/>
    <w:rsid w:val="00C337CF"/>
    <w:rsid w:val="00C33CAA"/>
    <w:rsid w:val="00C33D52"/>
    <w:rsid w:val="00C3465A"/>
    <w:rsid w:val="00C350E9"/>
    <w:rsid w:val="00C350FC"/>
    <w:rsid w:val="00C35F54"/>
    <w:rsid w:val="00C363EE"/>
    <w:rsid w:val="00C36568"/>
    <w:rsid w:val="00C36EAA"/>
    <w:rsid w:val="00C37125"/>
    <w:rsid w:val="00C37306"/>
    <w:rsid w:val="00C3755A"/>
    <w:rsid w:val="00C37B0D"/>
    <w:rsid w:val="00C400B6"/>
    <w:rsid w:val="00C40281"/>
    <w:rsid w:val="00C40B2A"/>
    <w:rsid w:val="00C40D78"/>
    <w:rsid w:val="00C40EFA"/>
    <w:rsid w:val="00C410F5"/>
    <w:rsid w:val="00C41997"/>
    <w:rsid w:val="00C41B1D"/>
    <w:rsid w:val="00C42058"/>
    <w:rsid w:val="00C42579"/>
    <w:rsid w:val="00C432E9"/>
    <w:rsid w:val="00C43373"/>
    <w:rsid w:val="00C4343D"/>
    <w:rsid w:val="00C437C0"/>
    <w:rsid w:val="00C43B67"/>
    <w:rsid w:val="00C441F5"/>
    <w:rsid w:val="00C442F4"/>
    <w:rsid w:val="00C448EC"/>
    <w:rsid w:val="00C44F9F"/>
    <w:rsid w:val="00C45344"/>
    <w:rsid w:val="00C4599F"/>
    <w:rsid w:val="00C46A3B"/>
    <w:rsid w:val="00C46F5E"/>
    <w:rsid w:val="00C470C8"/>
    <w:rsid w:val="00C47AEF"/>
    <w:rsid w:val="00C5059A"/>
    <w:rsid w:val="00C50D5D"/>
    <w:rsid w:val="00C516E8"/>
    <w:rsid w:val="00C5212F"/>
    <w:rsid w:val="00C5244B"/>
    <w:rsid w:val="00C52752"/>
    <w:rsid w:val="00C527C9"/>
    <w:rsid w:val="00C52A4C"/>
    <w:rsid w:val="00C535A9"/>
    <w:rsid w:val="00C53E49"/>
    <w:rsid w:val="00C5485C"/>
    <w:rsid w:val="00C54D91"/>
    <w:rsid w:val="00C56056"/>
    <w:rsid w:val="00C560DA"/>
    <w:rsid w:val="00C56151"/>
    <w:rsid w:val="00C5650E"/>
    <w:rsid w:val="00C56AFD"/>
    <w:rsid w:val="00C56E50"/>
    <w:rsid w:val="00C57073"/>
    <w:rsid w:val="00C604DB"/>
    <w:rsid w:val="00C60919"/>
    <w:rsid w:val="00C60C38"/>
    <w:rsid w:val="00C60EE7"/>
    <w:rsid w:val="00C61583"/>
    <w:rsid w:val="00C61911"/>
    <w:rsid w:val="00C6215F"/>
    <w:rsid w:val="00C6256C"/>
    <w:rsid w:val="00C62823"/>
    <w:rsid w:val="00C628F1"/>
    <w:rsid w:val="00C629E6"/>
    <w:rsid w:val="00C62CD8"/>
    <w:rsid w:val="00C63433"/>
    <w:rsid w:val="00C63C75"/>
    <w:rsid w:val="00C64672"/>
    <w:rsid w:val="00C64A54"/>
    <w:rsid w:val="00C64BA0"/>
    <w:rsid w:val="00C65BF7"/>
    <w:rsid w:val="00C665D4"/>
    <w:rsid w:val="00C6669A"/>
    <w:rsid w:val="00C66AE8"/>
    <w:rsid w:val="00C672AC"/>
    <w:rsid w:val="00C67B3A"/>
    <w:rsid w:val="00C67D9F"/>
    <w:rsid w:val="00C70DB1"/>
    <w:rsid w:val="00C7137E"/>
    <w:rsid w:val="00C71410"/>
    <w:rsid w:val="00C71DD3"/>
    <w:rsid w:val="00C7202A"/>
    <w:rsid w:val="00C72273"/>
    <w:rsid w:val="00C72612"/>
    <w:rsid w:val="00C72A1D"/>
    <w:rsid w:val="00C72CBD"/>
    <w:rsid w:val="00C7380B"/>
    <w:rsid w:val="00C73E58"/>
    <w:rsid w:val="00C73F9F"/>
    <w:rsid w:val="00C74410"/>
    <w:rsid w:val="00C74483"/>
    <w:rsid w:val="00C751FC"/>
    <w:rsid w:val="00C75259"/>
    <w:rsid w:val="00C757BF"/>
    <w:rsid w:val="00C75894"/>
    <w:rsid w:val="00C75C40"/>
    <w:rsid w:val="00C76541"/>
    <w:rsid w:val="00C76D29"/>
    <w:rsid w:val="00C7747F"/>
    <w:rsid w:val="00C7776A"/>
    <w:rsid w:val="00C779A2"/>
    <w:rsid w:val="00C80545"/>
    <w:rsid w:val="00C8069A"/>
    <w:rsid w:val="00C807E6"/>
    <w:rsid w:val="00C80826"/>
    <w:rsid w:val="00C81139"/>
    <w:rsid w:val="00C814AA"/>
    <w:rsid w:val="00C827DD"/>
    <w:rsid w:val="00C83245"/>
    <w:rsid w:val="00C8368C"/>
    <w:rsid w:val="00C84663"/>
    <w:rsid w:val="00C85564"/>
    <w:rsid w:val="00C85B73"/>
    <w:rsid w:val="00C85D1A"/>
    <w:rsid w:val="00C86489"/>
    <w:rsid w:val="00C8690E"/>
    <w:rsid w:val="00C87BFD"/>
    <w:rsid w:val="00C87FF6"/>
    <w:rsid w:val="00C9027C"/>
    <w:rsid w:val="00C907B5"/>
    <w:rsid w:val="00C9092E"/>
    <w:rsid w:val="00C90967"/>
    <w:rsid w:val="00C90E01"/>
    <w:rsid w:val="00C90FE8"/>
    <w:rsid w:val="00C916FE"/>
    <w:rsid w:val="00C918D8"/>
    <w:rsid w:val="00C91A40"/>
    <w:rsid w:val="00C91A64"/>
    <w:rsid w:val="00C91D18"/>
    <w:rsid w:val="00C91FDE"/>
    <w:rsid w:val="00C92BDD"/>
    <w:rsid w:val="00C93110"/>
    <w:rsid w:val="00C937E8"/>
    <w:rsid w:val="00C94410"/>
    <w:rsid w:val="00C95193"/>
    <w:rsid w:val="00C953AF"/>
    <w:rsid w:val="00C9554D"/>
    <w:rsid w:val="00C959C6"/>
    <w:rsid w:val="00C962F9"/>
    <w:rsid w:val="00C96707"/>
    <w:rsid w:val="00C96811"/>
    <w:rsid w:val="00C969A2"/>
    <w:rsid w:val="00C96C30"/>
    <w:rsid w:val="00C96CF3"/>
    <w:rsid w:val="00C976DD"/>
    <w:rsid w:val="00C9775D"/>
    <w:rsid w:val="00C97F16"/>
    <w:rsid w:val="00C97FC2"/>
    <w:rsid w:val="00CA0486"/>
    <w:rsid w:val="00CA0A53"/>
    <w:rsid w:val="00CA0B3D"/>
    <w:rsid w:val="00CA0DEA"/>
    <w:rsid w:val="00CA0E3A"/>
    <w:rsid w:val="00CA1385"/>
    <w:rsid w:val="00CA17CF"/>
    <w:rsid w:val="00CA1B76"/>
    <w:rsid w:val="00CA1E52"/>
    <w:rsid w:val="00CA2520"/>
    <w:rsid w:val="00CA2748"/>
    <w:rsid w:val="00CA2B2C"/>
    <w:rsid w:val="00CA2DD7"/>
    <w:rsid w:val="00CA2E34"/>
    <w:rsid w:val="00CA33F2"/>
    <w:rsid w:val="00CA36D0"/>
    <w:rsid w:val="00CA3E19"/>
    <w:rsid w:val="00CA52B3"/>
    <w:rsid w:val="00CA533A"/>
    <w:rsid w:val="00CA55B6"/>
    <w:rsid w:val="00CA5BF5"/>
    <w:rsid w:val="00CA6792"/>
    <w:rsid w:val="00CA6A2C"/>
    <w:rsid w:val="00CA6CE0"/>
    <w:rsid w:val="00CA6D5B"/>
    <w:rsid w:val="00CA75EB"/>
    <w:rsid w:val="00CB0729"/>
    <w:rsid w:val="00CB0957"/>
    <w:rsid w:val="00CB0ACC"/>
    <w:rsid w:val="00CB197F"/>
    <w:rsid w:val="00CB1DCC"/>
    <w:rsid w:val="00CB2050"/>
    <w:rsid w:val="00CB2D5B"/>
    <w:rsid w:val="00CB320F"/>
    <w:rsid w:val="00CB390A"/>
    <w:rsid w:val="00CB3F01"/>
    <w:rsid w:val="00CB4654"/>
    <w:rsid w:val="00CB49B8"/>
    <w:rsid w:val="00CB49E0"/>
    <w:rsid w:val="00CB598F"/>
    <w:rsid w:val="00CB5ABC"/>
    <w:rsid w:val="00CB657C"/>
    <w:rsid w:val="00CB6620"/>
    <w:rsid w:val="00CB667D"/>
    <w:rsid w:val="00CB6D96"/>
    <w:rsid w:val="00CB73D4"/>
    <w:rsid w:val="00CB7438"/>
    <w:rsid w:val="00CB74B4"/>
    <w:rsid w:val="00CB7787"/>
    <w:rsid w:val="00CB78D1"/>
    <w:rsid w:val="00CB7A50"/>
    <w:rsid w:val="00CC0655"/>
    <w:rsid w:val="00CC0B4B"/>
    <w:rsid w:val="00CC0C6D"/>
    <w:rsid w:val="00CC15EC"/>
    <w:rsid w:val="00CC1B3A"/>
    <w:rsid w:val="00CC1D2D"/>
    <w:rsid w:val="00CC1D66"/>
    <w:rsid w:val="00CC28A7"/>
    <w:rsid w:val="00CC3181"/>
    <w:rsid w:val="00CC479F"/>
    <w:rsid w:val="00CC528C"/>
    <w:rsid w:val="00CC5727"/>
    <w:rsid w:val="00CC58E6"/>
    <w:rsid w:val="00CC5CF1"/>
    <w:rsid w:val="00CC5E99"/>
    <w:rsid w:val="00CC6099"/>
    <w:rsid w:val="00CC6120"/>
    <w:rsid w:val="00CC7096"/>
    <w:rsid w:val="00CC7238"/>
    <w:rsid w:val="00CC77F1"/>
    <w:rsid w:val="00CC7A84"/>
    <w:rsid w:val="00CC7AAC"/>
    <w:rsid w:val="00CC7F32"/>
    <w:rsid w:val="00CD01FA"/>
    <w:rsid w:val="00CD04E9"/>
    <w:rsid w:val="00CD0CE6"/>
    <w:rsid w:val="00CD1006"/>
    <w:rsid w:val="00CD1531"/>
    <w:rsid w:val="00CD157C"/>
    <w:rsid w:val="00CD16A6"/>
    <w:rsid w:val="00CD175B"/>
    <w:rsid w:val="00CD1847"/>
    <w:rsid w:val="00CD1F51"/>
    <w:rsid w:val="00CD22AD"/>
    <w:rsid w:val="00CD22B2"/>
    <w:rsid w:val="00CD276D"/>
    <w:rsid w:val="00CD279E"/>
    <w:rsid w:val="00CD2ADB"/>
    <w:rsid w:val="00CD3218"/>
    <w:rsid w:val="00CD336A"/>
    <w:rsid w:val="00CD363C"/>
    <w:rsid w:val="00CD3F71"/>
    <w:rsid w:val="00CD3F79"/>
    <w:rsid w:val="00CD488E"/>
    <w:rsid w:val="00CD48D4"/>
    <w:rsid w:val="00CD4DC3"/>
    <w:rsid w:val="00CD4FE7"/>
    <w:rsid w:val="00CD51CF"/>
    <w:rsid w:val="00CD52B3"/>
    <w:rsid w:val="00CD5FB4"/>
    <w:rsid w:val="00CD610F"/>
    <w:rsid w:val="00CD614D"/>
    <w:rsid w:val="00CD6479"/>
    <w:rsid w:val="00CD6735"/>
    <w:rsid w:val="00CD6947"/>
    <w:rsid w:val="00CD6F0B"/>
    <w:rsid w:val="00CD75EE"/>
    <w:rsid w:val="00CD7747"/>
    <w:rsid w:val="00CD7854"/>
    <w:rsid w:val="00CD7F33"/>
    <w:rsid w:val="00CE0123"/>
    <w:rsid w:val="00CE01D2"/>
    <w:rsid w:val="00CE076A"/>
    <w:rsid w:val="00CE1525"/>
    <w:rsid w:val="00CE1659"/>
    <w:rsid w:val="00CE1694"/>
    <w:rsid w:val="00CE1ABB"/>
    <w:rsid w:val="00CE20D2"/>
    <w:rsid w:val="00CE2232"/>
    <w:rsid w:val="00CE22BA"/>
    <w:rsid w:val="00CE23F9"/>
    <w:rsid w:val="00CE2775"/>
    <w:rsid w:val="00CE2B00"/>
    <w:rsid w:val="00CE360F"/>
    <w:rsid w:val="00CE426A"/>
    <w:rsid w:val="00CE44DA"/>
    <w:rsid w:val="00CE4A80"/>
    <w:rsid w:val="00CE4B8C"/>
    <w:rsid w:val="00CE4E44"/>
    <w:rsid w:val="00CE52D9"/>
    <w:rsid w:val="00CE5B3F"/>
    <w:rsid w:val="00CE5BBA"/>
    <w:rsid w:val="00CE6015"/>
    <w:rsid w:val="00CE611B"/>
    <w:rsid w:val="00CE6550"/>
    <w:rsid w:val="00CE6A67"/>
    <w:rsid w:val="00CE6CEE"/>
    <w:rsid w:val="00CE6E93"/>
    <w:rsid w:val="00CE73BD"/>
    <w:rsid w:val="00CE78E7"/>
    <w:rsid w:val="00CE7A4F"/>
    <w:rsid w:val="00CE7DD0"/>
    <w:rsid w:val="00CE7FDF"/>
    <w:rsid w:val="00CF09B6"/>
    <w:rsid w:val="00CF0BBC"/>
    <w:rsid w:val="00CF10CF"/>
    <w:rsid w:val="00CF12D0"/>
    <w:rsid w:val="00CF173C"/>
    <w:rsid w:val="00CF1ADD"/>
    <w:rsid w:val="00CF1CFD"/>
    <w:rsid w:val="00CF2055"/>
    <w:rsid w:val="00CF26DE"/>
    <w:rsid w:val="00CF2A60"/>
    <w:rsid w:val="00CF2B4E"/>
    <w:rsid w:val="00CF3283"/>
    <w:rsid w:val="00CF35C8"/>
    <w:rsid w:val="00CF4304"/>
    <w:rsid w:val="00CF4532"/>
    <w:rsid w:val="00CF46B8"/>
    <w:rsid w:val="00CF4817"/>
    <w:rsid w:val="00CF50C8"/>
    <w:rsid w:val="00CF602C"/>
    <w:rsid w:val="00CF6050"/>
    <w:rsid w:val="00CF6668"/>
    <w:rsid w:val="00CF7271"/>
    <w:rsid w:val="00CF740A"/>
    <w:rsid w:val="00CF77D8"/>
    <w:rsid w:val="00CF7AAA"/>
    <w:rsid w:val="00CF7E60"/>
    <w:rsid w:val="00D0060C"/>
    <w:rsid w:val="00D00899"/>
    <w:rsid w:val="00D00ACE"/>
    <w:rsid w:val="00D00AE6"/>
    <w:rsid w:val="00D00BAE"/>
    <w:rsid w:val="00D00D45"/>
    <w:rsid w:val="00D00E86"/>
    <w:rsid w:val="00D00F2D"/>
    <w:rsid w:val="00D011A5"/>
    <w:rsid w:val="00D01576"/>
    <w:rsid w:val="00D0165B"/>
    <w:rsid w:val="00D018A4"/>
    <w:rsid w:val="00D018B0"/>
    <w:rsid w:val="00D01ADC"/>
    <w:rsid w:val="00D01B75"/>
    <w:rsid w:val="00D01C0E"/>
    <w:rsid w:val="00D01DF2"/>
    <w:rsid w:val="00D01E18"/>
    <w:rsid w:val="00D02300"/>
    <w:rsid w:val="00D0236B"/>
    <w:rsid w:val="00D0254A"/>
    <w:rsid w:val="00D02657"/>
    <w:rsid w:val="00D0283B"/>
    <w:rsid w:val="00D03398"/>
    <w:rsid w:val="00D0372B"/>
    <w:rsid w:val="00D04681"/>
    <w:rsid w:val="00D04C40"/>
    <w:rsid w:val="00D04E1F"/>
    <w:rsid w:val="00D05111"/>
    <w:rsid w:val="00D0556C"/>
    <w:rsid w:val="00D05587"/>
    <w:rsid w:val="00D058C2"/>
    <w:rsid w:val="00D06279"/>
    <w:rsid w:val="00D062BE"/>
    <w:rsid w:val="00D065C0"/>
    <w:rsid w:val="00D06828"/>
    <w:rsid w:val="00D0687B"/>
    <w:rsid w:val="00D0691D"/>
    <w:rsid w:val="00D07E8B"/>
    <w:rsid w:val="00D07F61"/>
    <w:rsid w:val="00D10ABC"/>
    <w:rsid w:val="00D10E40"/>
    <w:rsid w:val="00D10F9F"/>
    <w:rsid w:val="00D11352"/>
    <w:rsid w:val="00D11797"/>
    <w:rsid w:val="00D11C2B"/>
    <w:rsid w:val="00D12014"/>
    <w:rsid w:val="00D120E7"/>
    <w:rsid w:val="00D120EF"/>
    <w:rsid w:val="00D127E5"/>
    <w:rsid w:val="00D129BB"/>
    <w:rsid w:val="00D12C76"/>
    <w:rsid w:val="00D13F25"/>
    <w:rsid w:val="00D14186"/>
    <w:rsid w:val="00D14341"/>
    <w:rsid w:val="00D143DA"/>
    <w:rsid w:val="00D14641"/>
    <w:rsid w:val="00D1500C"/>
    <w:rsid w:val="00D15265"/>
    <w:rsid w:val="00D15A74"/>
    <w:rsid w:val="00D1665D"/>
    <w:rsid w:val="00D16CCE"/>
    <w:rsid w:val="00D16F01"/>
    <w:rsid w:val="00D174C7"/>
    <w:rsid w:val="00D174DD"/>
    <w:rsid w:val="00D17A85"/>
    <w:rsid w:val="00D2008B"/>
    <w:rsid w:val="00D200A3"/>
    <w:rsid w:val="00D202F1"/>
    <w:rsid w:val="00D20FB2"/>
    <w:rsid w:val="00D219CC"/>
    <w:rsid w:val="00D21A4F"/>
    <w:rsid w:val="00D221A8"/>
    <w:rsid w:val="00D22A34"/>
    <w:rsid w:val="00D22DE9"/>
    <w:rsid w:val="00D22DFD"/>
    <w:rsid w:val="00D23564"/>
    <w:rsid w:val="00D23CB4"/>
    <w:rsid w:val="00D243AC"/>
    <w:rsid w:val="00D24B5C"/>
    <w:rsid w:val="00D24C2E"/>
    <w:rsid w:val="00D24EBE"/>
    <w:rsid w:val="00D25A5C"/>
    <w:rsid w:val="00D25C09"/>
    <w:rsid w:val="00D26D6A"/>
    <w:rsid w:val="00D26F73"/>
    <w:rsid w:val="00D27FB3"/>
    <w:rsid w:val="00D300F2"/>
    <w:rsid w:val="00D30E8A"/>
    <w:rsid w:val="00D31518"/>
    <w:rsid w:val="00D31675"/>
    <w:rsid w:val="00D31892"/>
    <w:rsid w:val="00D318B7"/>
    <w:rsid w:val="00D31FDD"/>
    <w:rsid w:val="00D323D4"/>
    <w:rsid w:val="00D3283A"/>
    <w:rsid w:val="00D332F6"/>
    <w:rsid w:val="00D33BCA"/>
    <w:rsid w:val="00D33D6E"/>
    <w:rsid w:val="00D34761"/>
    <w:rsid w:val="00D34CD0"/>
    <w:rsid w:val="00D34FC7"/>
    <w:rsid w:val="00D3501C"/>
    <w:rsid w:val="00D357C5"/>
    <w:rsid w:val="00D361F7"/>
    <w:rsid w:val="00D36825"/>
    <w:rsid w:val="00D36FE9"/>
    <w:rsid w:val="00D371EF"/>
    <w:rsid w:val="00D372E4"/>
    <w:rsid w:val="00D3798E"/>
    <w:rsid w:val="00D37D56"/>
    <w:rsid w:val="00D404E5"/>
    <w:rsid w:val="00D406A4"/>
    <w:rsid w:val="00D4155C"/>
    <w:rsid w:val="00D41689"/>
    <w:rsid w:val="00D416E2"/>
    <w:rsid w:val="00D41B75"/>
    <w:rsid w:val="00D41F59"/>
    <w:rsid w:val="00D42072"/>
    <w:rsid w:val="00D42507"/>
    <w:rsid w:val="00D42560"/>
    <w:rsid w:val="00D427B3"/>
    <w:rsid w:val="00D42C57"/>
    <w:rsid w:val="00D42EA4"/>
    <w:rsid w:val="00D43710"/>
    <w:rsid w:val="00D44164"/>
    <w:rsid w:val="00D44214"/>
    <w:rsid w:val="00D44337"/>
    <w:rsid w:val="00D443E7"/>
    <w:rsid w:val="00D44504"/>
    <w:rsid w:val="00D445A1"/>
    <w:rsid w:val="00D44617"/>
    <w:rsid w:val="00D4622A"/>
    <w:rsid w:val="00D46972"/>
    <w:rsid w:val="00D4704F"/>
    <w:rsid w:val="00D4721E"/>
    <w:rsid w:val="00D475B0"/>
    <w:rsid w:val="00D47D7E"/>
    <w:rsid w:val="00D47EB9"/>
    <w:rsid w:val="00D502A0"/>
    <w:rsid w:val="00D503A9"/>
    <w:rsid w:val="00D50DFB"/>
    <w:rsid w:val="00D50FF8"/>
    <w:rsid w:val="00D519EA"/>
    <w:rsid w:val="00D51A7A"/>
    <w:rsid w:val="00D5337F"/>
    <w:rsid w:val="00D533F3"/>
    <w:rsid w:val="00D5345B"/>
    <w:rsid w:val="00D53900"/>
    <w:rsid w:val="00D53B30"/>
    <w:rsid w:val="00D53DBF"/>
    <w:rsid w:val="00D54288"/>
    <w:rsid w:val="00D5497F"/>
    <w:rsid w:val="00D54F68"/>
    <w:rsid w:val="00D55CAE"/>
    <w:rsid w:val="00D55F0A"/>
    <w:rsid w:val="00D55FDB"/>
    <w:rsid w:val="00D56B01"/>
    <w:rsid w:val="00D56C8E"/>
    <w:rsid w:val="00D5713D"/>
    <w:rsid w:val="00D57323"/>
    <w:rsid w:val="00D57E6E"/>
    <w:rsid w:val="00D6044E"/>
    <w:rsid w:val="00D60562"/>
    <w:rsid w:val="00D61297"/>
    <w:rsid w:val="00D618BC"/>
    <w:rsid w:val="00D61B5B"/>
    <w:rsid w:val="00D61DFE"/>
    <w:rsid w:val="00D62FD1"/>
    <w:rsid w:val="00D63B27"/>
    <w:rsid w:val="00D63CAC"/>
    <w:rsid w:val="00D6420D"/>
    <w:rsid w:val="00D645D5"/>
    <w:rsid w:val="00D64C78"/>
    <w:rsid w:val="00D650CB"/>
    <w:rsid w:val="00D65C90"/>
    <w:rsid w:val="00D66051"/>
    <w:rsid w:val="00D6715A"/>
    <w:rsid w:val="00D675E1"/>
    <w:rsid w:val="00D676CD"/>
    <w:rsid w:val="00D677BD"/>
    <w:rsid w:val="00D67BFB"/>
    <w:rsid w:val="00D67FA8"/>
    <w:rsid w:val="00D70845"/>
    <w:rsid w:val="00D70A07"/>
    <w:rsid w:val="00D714D8"/>
    <w:rsid w:val="00D71DD8"/>
    <w:rsid w:val="00D71EBE"/>
    <w:rsid w:val="00D7221E"/>
    <w:rsid w:val="00D72653"/>
    <w:rsid w:val="00D7291C"/>
    <w:rsid w:val="00D72DE0"/>
    <w:rsid w:val="00D72EF0"/>
    <w:rsid w:val="00D7310D"/>
    <w:rsid w:val="00D7321E"/>
    <w:rsid w:val="00D7376E"/>
    <w:rsid w:val="00D73EF9"/>
    <w:rsid w:val="00D7449C"/>
    <w:rsid w:val="00D759FC"/>
    <w:rsid w:val="00D75A91"/>
    <w:rsid w:val="00D76480"/>
    <w:rsid w:val="00D76A25"/>
    <w:rsid w:val="00D76EEA"/>
    <w:rsid w:val="00D77416"/>
    <w:rsid w:val="00D77646"/>
    <w:rsid w:val="00D7765E"/>
    <w:rsid w:val="00D77C33"/>
    <w:rsid w:val="00D77E19"/>
    <w:rsid w:val="00D77EE6"/>
    <w:rsid w:val="00D77F3A"/>
    <w:rsid w:val="00D80599"/>
    <w:rsid w:val="00D8082A"/>
    <w:rsid w:val="00D80AE2"/>
    <w:rsid w:val="00D80DD5"/>
    <w:rsid w:val="00D80DF0"/>
    <w:rsid w:val="00D812C9"/>
    <w:rsid w:val="00D81BD5"/>
    <w:rsid w:val="00D81DF9"/>
    <w:rsid w:val="00D82220"/>
    <w:rsid w:val="00D82959"/>
    <w:rsid w:val="00D82C20"/>
    <w:rsid w:val="00D8333D"/>
    <w:rsid w:val="00D840DE"/>
    <w:rsid w:val="00D84C55"/>
    <w:rsid w:val="00D853BC"/>
    <w:rsid w:val="00D85CDA"/>
    <w:rsid w:val="00D85E22"/>
    <w:rsid w:val="00D8669C"/>
    <w:rsid w:val="00D8702A"/>
    <w:rsid w:val="00D87448"/>
    <w:rsid w:val="00D87EC8"/>
    <w:rsid w:val="00D90292"/>
    <w:rsid w:val="00D9030E"/>
    <w:rsid w:val="00D90B91"/>
    <w:rsid w:val="00D914B1"/>
    <w:rsid w:val="00D917C6"/>
    <w:rsid w:val="00D91C5A"/>
    <w:rsid w:val="00D922AE"/>
    <w:rsid w:val="00D924A9"/>
    <w:rsid w:val="00D92693"/>
    <w:rsid w:val="00D92D80"/>
    <w:rsid w:val="00D93169"/>
    <w:rsid w:val="00D931E2"/>
    <w:rsid w:val="00D93364"/>
    <w:rsid w:val="00D934A3"/>
    <w:rsid w:val="00D935DB"/>
    <w:rsid w:val="00D93774"/>
    <w:rsid w:val="00D93893"/>
    <w:rsid w:val="00D946EB"/>
    <w:rsid w:val="00D956A3"/>
    <w:rsid w:val="00D95A84"/>
    <w:rsid w:val="00D9649A"/>
    <w:rsid w:val="00D966A5"/>
    <w:rsid w:val="00D966EF"/>
    <w:rsid w:val="00D96DB5"/>
    <w:rsid w:val="00D96ECC"/>
    <w:rsid w:val="00D97541"/>
    <w:rsid w:val="00D97764"/>
    <w:rsid w:val="00D97B00"/>
    <w:rsid w:val="00D97B75"/>
    <w:rsid w:val="00D97FC9"/>
    <w:rsid w:val="00DA0085"/>
    <w:rsid w:val="00DA04BC"/>
    <w:rsid w:val="00DA0803"/>
    <w:rsid w:val="00DA0FCE"/>
    <w:rsid w:val="00DA174C"/>
    <w:rsid w:val="00DA17A3"/>
    <w:rsid w:val="00DA1C6A"/>
    <w:rsid w:val="00DA2127"/>
    <w:rsid w:val="00DA2465"/>
    <w:rsid w:val="00DA24BD"/>
    <w:rsid w:val="00DA2548"/>
    <w:rsid w:val="00DA258C"/>
    <w:rsid w:val="00DA2CAE"/>
    <w:rsid w:val="00DA3481"/>
    <w:rsid w:val="00DA36F0"/>
    <w:rsid w:val="00DA496D"/>
    <w:rsid w:val="00DA5806"/>
    <w:rsid w:val="00DA595D"/>
    <w:rsid w:val="00DA5BC6"/>
    <w:rsid w:val="00DA6108"/>
    <w:rsid w:val="00DA61FC"/>
    <w:rsid w:val="00DA63E8"/>
    <w:rsid w:val="00DA6C07"/>
    <w:rsid w:val="00DA6C41"/>
    <w:rsid w:val="00DA6CF0"/>
    <w:rsid w:val="00DA79A9"/>
    <w:rsid w:val="00DA7B6A"/>
    <w:rsid w:val="00DB028F"/>
    <w:rsid w:val="00DB0C21"/>
    <w:rsid w:val="00DB0CAB"/>
    <w:rsid w:val="00DB0DF3"/>
    <w:rsid w:val="00DB1718"/>
    <w:rsid w:val="00DB191D"/>
    <w:rsid w:val="00DB22DA"/>
    <w:rsid w:val="00DB286C"/>
    <w:rsid w:val="00DB29C0"/>
    <w:rsid w:val="00DB2F47"/>
    <w:rsid w:val="00DB3358"/>
    <w:rsid w:val="00DB3401"/>
    <w:rsid w:val="00DB3736"/>
    <w:rsid w:val="00DB38D3"/>
    <w:rsid w:val="00DB3A30"/>
    <w:rsid w:val="00DB3C99"/>
    <w:rsid w:val="00DB51FC"/>
    <w:rsid w:val="00DB5330"/>
    <w:rsid w:val="00DB59F5"/>
    <w:rsid w:val="00DB6EEA"/>
    <w:rsid w:val="00DB70DA"/>
    <w:rsid w:val="00DB73C2"/>
    <w:rsid w:val="00DB75F3"/>
    <w:rsid w:val="00DB7865"/>
    <w:rsid w:val="00DB7960"/>
    <w:rsid w:val="00DC0010"/>
    <w:rsid w:val="00DC08F5"/>
    <w:rsid w:val="00DC0B13"/>
    <w:rsid w:val="00DC0F96"/>
    <w:rsid w:val="00DC1770"/>
    <w:rsid w:val="00DC1A7A"/>
    <w:rsid w:val="00DC202C"/>
    <w:rsid w:val="00DC223E"/>
    <w:rsid w:val="00DC2241"/>
    <w:rsid w:val="00DC2718"/>
    <w:rsid w:val="00DC2A06"/>
    <w:rsid w:val="00DC2D59"/>
    <w:rsid w:val="00DC3606"/>
    <w:rsid w:val="00DC3717"/>
    <w:rsid w:val="00DC3820"/>
    <w:rsid w:val="00DC3BBF"/>
    <w:rsid w:val="00DC417A"/>
    <w:rsid w:val="00DC4BDA"/>
    <w:rsid w:val="00DC4C44"/>
    <w:rsid w:val="00DC5337"/>
    <w:rsid w:val="00DC574A"/>
    <w:rsid w:val="00DC5931"/>
    <w:rsid w:val="00DC5A56"/>
    <w:rsid w:val="00DC5E99"/>
    <w:rsid w:val="00DC69EE"/>
    <w:rsid w:val="00DC6E51"/>
    <w:rsid w:val="00DC6F68"/>
    <w:rsid w:val="00DC70F9"/>
    <w:rsid w:val="00DC7A5D"/>
    <w:rsid w:val="00DC7C00"/>
    <w:rsid w:val="00DD01B4"/>
    <w:rsid w:val="00DD0510"/>
    <w:rsid w:val="00DD1373"/>
    <w:rsid w:val="00DD1B53"/>
    <w:rsid w:val="00DD24BC"/>
    <w:rsid w:val="00DD2622"/>
    <w:rsid w:val="00DD2E14"/>
    <w:rsid w:val="00DD3311"/>
    <w:rsid w:val="00DD346D"/>
    <w:rsid w:val="00DD36EA"/>
    <w:rsid w:val="00DD3718"/>
    <w:rsid w:val="00DD37F4"/>
    <w:rsid w:val="00DD41D9"/>
    <w:rsid w:val="00DD4934"/>
    <w:rsid w:val="00DD50F7"/>
    <w:rsid w:val="00DD5308"/>
    <w:rsid w:val="00DD60F4"/>
    <w:rsid w:val="00DD62B2"/>
    <w:rsid w:val="00DD677D"/>
    <w:rsid w:val="00DD7414"/>
    <w:rsid w:val="00DD7894"/>
    <w:rsid w:val="00DE15C7"/>
    <w:rsid w:val="00DE179E"/>
    <w:rsid w:val="00DE2010"/>
    <w:rsid w:val="00DE25F2"/>
    <w:rsid w:val="00DE26AA"/>
    <w:rsid w:val="00DE2E49"/>
    <w:rsid w:val="00DE3831"/>
    <w:rsid w:val="00DE418D"/>
    <w:rsid w:val="00DE41C4"/>
    <w:rsid w:val="00DE48B7"/>
    <w:rsid w:val="00DE4CAE"/>
    <w:rsid w:val="00DE537A"/>
    <w:rsid w:val="00DE5E58"/>
    <w:rsid w:val="00DE6067"/>
    <w:rsid w:val="00DE612F"/>
    <w:rsid w:val="00DE623C"/>
    <w:rsid w:val="00DE62A3"/>
    <w:rsid w:val="00DE6471"/>
    <w:rsid w:val="00DE6613"/>
    <w:rsid w:val="00DE66F1"/>
    <w:rsid w:val="00DE68CF"/>
    <w:rsid w:val="00DE69E8"/>
    <w:rsid w:val="00DE7BB8"/>
    <w:rsid w:val="00DF089D"/>
    <w:rsid w:val="00DF0F2E"/>
    <w:rsid w:val="00DF156C"/>
    <w:rsid w:val="00DF15AE"/>
    <w:rsid w:val="00DF16E7"/>
    <w:rsid w:val="00DF234B"/>
    <w:rsid w:val="00DF2778"/>
    <w:rsid w:val="00DF3764"/>
    <w:rsid w:val="00DF4839"/>
    <w:rsid w:val="00DF4ACA"/>
    <w:rsid w:val="00DF4AD8"/>
    <w:rsid w:val="00DF4F86"/>
    <w:rsid w:val="00DF5317"/>
    <w:rsid w:val="00DF5A4C"/>
    <w:rsid w:val="00DF5BA6"/>
    <w:rsid w:val="00DF612B"/>
    <w:rsid w:val="00DF634A"/>
    <w:rsid w:val="00E00502"/>
    <w:rsid w:val="00E00903"/>
    <w:rsid w:val="00E00BF2"/>
    <w:rsid w:val="00E00FC0"/>
    <w:rsid w:val="00E01B67"/>
    <w:rsid w:val="00E01DB4"/>
    <w:rsid w:val="00E01E18"/>
    <w:rsid w:val="00E02769"/>
    <w:rsid w:val="00E027D6"/>
    <w:rsid w:val="00E02BCB"/>
    <w:rsid w:val="00E02D13"/>
    <w:rsid w:val="00E02FC3"/>
    <w:rsid w:val="00E031BC"/>
    <w:rsid w:val="00E0321D"/>
    <w:rsid w:val="00E032A0"/>
    <w:rsid w:val="00E032C8"/>
    <w:rsid w:val="00E033AC"/>
    <w:rsid w:val="00E03B45"/>
    <w:rsid w:val="00E03D55"/>
    <w:rsid w:val="00E041EF"/>
    <w:rsid w:val="00E048FB"/>
    <w:rsid w:val="00E04E75"/>
    <w:rsid w:val="00E05670"/>
    <w:rsid w:val="00E0589F"/>
    <w:rsid w:val="00E05A01"/>
    <w:rsid w:val="00E05B3B"/>
    <w:rsid w:val="00E063A3"/>
    <w:rsid w:val="00E0642E"/>
    <w:rsid w:val="00E06456"/>
    <w:rsid w:val="00E065FD"/>
    <w:rsid w:val="00E06E7A"/>
    <w:rsid w:val="00E0707A"/>
    <w:rsid w:val="00E07B28"/>
    <w:rsid w:val="00E07B6B"/>
    <w:rsid w:val="00E07D9F"/>
    <w:rsid w:val="00E10823"/>
    <w:rsid w:val="00E10AF2"/>
    <w:rsid w:val="00E10E43"/>
    <w:rsid w:val="00E112ED"/>
    <w:rsid w:val="00E1133F"/>
    <w:rsid w:val="00E115A3"/>
    <w:rsid w:val="00E118A1"/>
    <w:rsid w:val="00E11B23"/>
    <w:rsid w:val="00E11B84"/>
    <w:rsid w:val="00E121D8"/>
    <w:rsid w:val="00E1268D"/>
    <w:rsid w:val="00E130FB"/>
    <w:rsid w:val="00E13592"/>
    <w:rsid w:val="00E13700"/>
    <w:rsid w:val="00E137E2"/>
    <w:rsid w:val="00E139B7"/>
    <w:rsid w:val="00E141DE"/>
    <w:rsid w:val="00E14687"/>
    <w:rsid w:val="00E148CA"/>
    <w:rsid w:val="00E14BEF"/>
    <w:rsid w:val="00E14F6D"/>
    <w:rsid w:val="00E15161"/>
    <w:rsid w:val="00E1524B"/>
    <w:rsid w:val="00E15DE9"/>
    <w:rsid w:val="00E16053"/>
    <w:rsid w:val="00E164FE"/>
    <w:rsid w:val="00E169B6"/>
    <w:rsid w:val="00E16ADC"/>
    <w:rsid w:val="00E1763B"/>
    <w:rsid w:val="00E17822"/>
    <w:rsid w:val="00E1785A"/>
    <w:rsid w:val="00E17CB3"/>
    <w:rsid w:val="00E205D1"/>
    <w:rsid w:val="00E20ADB"/>
    <w:rsid w:val="00E21322"/>
    <w:rsid w:val="00E213F5"/>
    <w:rsid w:val="00E2188E"/>
    <w:rsid w:val="00E2206A"/>
    <w:rsid w:val="00E223DC"/>
    <w:rsid w:val="00E2344D"/>
    <w:rsid w:val="00E2388F"/>
    <w:rsid w:val="00E23F61"/>
    <w:rsid w:val="00E248DB"/>
    <w:rsid w:val="00E24BB8"/>
    <w:rsid w:val="00E24DD6"/>
    <w:rsid w:val="00E255D2"/>
    <w:rsid w:val="00E2562B"/>
    <w:rsid w:val="00E2619B"/>
    <w:rsid w:val="00E268A2"/>
    <w:rsid w:val="00E27679"/>
    <w:rsid w:val="00E27BDD"/>
    <w:rsid w:val="00E30221"/>
    <w:rsid w:val="00E30945"/>
    <w:rsid w:val="00E30D12"/>
    <w:rsid w:val="00E30DAA"/>
    <w:rsid w:val="00E3111A"/>
    <w:rsid w:val="00E312D3"/>
    <w:rsid w:val="00E313CA"/>
    <w:rsid w:val="00E31715"/>
    <w:rsid w:val="00E31A82"/>
    <w:rsid w:val="00E31FDD"/>
    <w:rsid w:val="00E32B7B"/>
    <w:rsid w:val="00E32C17"/>
    <w:rsid w:val="00E32DFF"/>
    <w:rsid w:val="00E32F47"/>
    <w:rsid w:val="00E330FE"/>
    <w:rsid w:val="00E3377A"/>
    <w:rsid w:val="00E3482C"/>
    <w:rsid w:val="00E349F6"/>
    <w:rsid w:val="00E34E78"/>
    <w:rsid w:val="00E35DB0"/>
    <w:rsid w:val="00E35F30"/>
    <w:rsid w:val="00E36607"/>
    <w:rsid w:val="00E36632"/>
    <w:rsid w:val="00E37712"/>
    <w:rsid w:val="00E37948"/>
    <w:rsid w:val="00E403BD"/>
    <w:rsid w:val="00E4052F"/>
    <w:rsid w:val="00E405D3"/>
    <w:rsid w:val="00E40628"/>
    <w:rsid w:val="00E4072D"/>
    <w:rsid w:val="00E412C0"/>
    <w:rsid w:val="00E415E7"/>
    <w:rsid w:val="00E41E62"/>
    <w:rsid w:val="00E41FB7"/>
    <w:rsid w:val="00E421A9"/>
    <w:rsid w:val="00E425A3"/>
    <w:rsid w:val="00E42682"/>
    <w:rsid w:val="00E42751"/>
    <w:rsid w:val="00E42F05"/>
    <w:rsid w:val="00E431F1"/>
    <w:rsid w:val="00E4345D"/>
    <w:rsid w:val="00E435D4"/>
    <w:rsid w:val="00E43B4F"/>
    <w:rsid w:val="00E43C70"/>
    <w:rsid w:val="00E43F1B"/>
    <w:rsid w:val="00E444EC"/>
    <w:rsid w:val="00E446AC"/>
    <w:rsid w:val="00E44840"/>
    <w:rsid w:val="00E44A55"/>
    <w:rsid w:val="00E44AC7"/>
    <w:rsid w:val="00E44C84"/>
    <w:rsid w:val="00E4508F"/>
    <w:rsid w:val="00E452E8"/>
    <w:rsid w:val="00E455B5"/>
    <w:rsid w:val="00E45771"/>
    <w:rsid w:val="00E457A9"/>
    <w:rsid w:val="00E45EAB"/>
    <w:rsid w:val="00E45FAB"/>
    <w:rsid w:val="00E46346"/>
    <w:rsid w:val="00E4642E"/>
    <w:rsid w:val="00E46C06"/>
    <w:rsid w:val="00E46DC5"/>
    <w:rsid w:val="00E47A59"/>
    <w:rsid w:val="00E47AC0"/>
    <w:rsid w:val="00E50593"/>
    <w:rsid w:val="00E50C3A"/>
    <w:rsid w:val="00E50DB3"/>
    <w:rsid w:val="00E5160B"/>
    <w:rsid w:val="00E516A0"/>
    <w:rsid w:val="00E52026"/>
    <w:rsid w:val="00E52947"/>
    <w:rsid w:val="00E52A20"/>
    <w:rsid w:val="00E52A54"/>
    <w:rsid w:val="00E52F54"/>
    <w:rsid w:val="00E52F7A"/>
    <w:rsid w:val="00E53873"/>
    <w:rsid w:val="00E54648"/>
    <w:rsid w:val="00E54A7E"/>
    <w:rsid w:val="00E54C91"/>
    <w:rsid w:val="00E54DD9"/>
    <w:rsid w:val="00E54DF1"/>
    <w:rsid w:val="00E553C6"/>
    <w:rsid w:val="00E5561D"/>
    <w:rsid w:val="00E55F31"/>
    <w:rsid w:val="00E5677E"/>
    <w:rsid w:val="00E56A17"/>
    <w:rsid w:val="00E56A84"/>
    <w:rsid w:val="00E56EBF"/>
    <w:rsid w:val="00E600D3"/>
    <w:rsid w:val="00E60736"/>
    <w:rsid w:val="00E60A0B"/>
    <w:rsid w:val="00E60A59"/>
    <w:rsid w:val="00E60FBC"/>
    <w:rsid w:val="00E6155A"/>
    <w:rsid w:val="00E61A63"/>
    <w:rsid w:val="00E61BF8"/>
    <w:rsid w:val="00E61F0A"/>
    <w:rsid w:val="00E62039"/>
    <w:rsid w:val="00E624B1"/>
    <w:rsid w:val="00E62514"/>
    <w:rsid w:val="00E6272E"/>
    <w:rsid w:val="00E62972"/>
    <w:rsid w:val="00E62EA1"/>
    <w:rsid w:val="00E6313B"/>
    <w:rsid w:val="00E634C7"/>
    <w:rsid w:val="00E63731"/>
    <w:rsid w:val="00E64B95"/>
    <w:rsid w:val="00E652F8"/>
    <w:rsid w:val="00E65A43"/>
    <w:rsid w:val="00E65F1D"/>
    <w:rsid w:val="00E6655D"/>
    <w:rsid w:val="00E674B3"/>
    <w:rsid w:val="00E67809"/>
    <w:rsid w:val="00E67DFC"/>
    <w:rsid w:val="00E70044"/>
    <w:rsid w:val="00E70765"/>
    <w:rsid w:val="00E708F8"/>
    <w:rsid w:val="00E70C00"/>
    <w:rsid w:val="00E70E56"/>
    <w:rsid w:val="00E71299"/>
    <w:rsid w:val="00E71720"/>
    <w:rsid w:val="00E719E8"/>
    <w:rsid w:val="00E72027"/>
    <w:rsid w:val="00E727AE"/>
    <w:rsid w:val="00E72C5F"/>
    <w:rsid w:val="00E72D4F"/>
    <w:rsid w:val="00E7345E"/>
    <w:rsid w:val="00E73464"/>
    <w:rsid w:val="00E73AD1"/>
    <w:rsid w:val="00E73D00"/>
    <w:rsid w:val="00E73FF9"/>
    <w:rsid w:val="00E74508"/>
    <w:rsid w:val="00E745AB"/>
    <w:rsid w:val="00E74C31"/>
    <w:rsid w:val="00E74C37"/>
    <w:rsid w:val="00E74D1E"/>
    <w:rsid w:val="00E7554A"/>
    <w:rsid w:val="00E7594B"/>
    <w:rsid w:val="00E75EE5"/>
    <w:rsid w:val="00E766B3"/>
    <w:rsid w:val="00E7682A"/>
    <w:rsid w:val="00E768B5"/>
    <w:rsid w:val="00E76E01"/>
    <w:rsid w:val="00E771EA"/>
    <w:rsid w:val="00E771EE"/>
    <w:rsid w:val="00E7734F"/>
    <w:rsid w:val="00E7799C"/>
    <w:rsid w:val="00E77C2D"/>
    <w:rsid w:val="00E8011C"/>
    <w:rsid w:val="00E80267"/>
    <w:rsid w:val="00E80408"/>
    <w:rsid w:val="00E8084B"/>
    <w:rsid w:val="00E809FE"/>
    <w:rsid w:val="00E80BA5"/>
    <w:rsid w:val="00E812A0"/>
    <w:rsid w:val="00E81441"/>
    <w:rsid w:val="00E8185E"/>
    <w:rsid w:val="00E8197B"/>
    <w:rsid w:val="00E81EFD"/>
    <w:rsid w:val="00E821A9"/>
    <w:rsid w:val="00E82B5F"/>
    <w:rsid w:val="00E82B66"/>
    <w:rsid w:val="00E82E87"/>
    <w:rsid w:val="00E836A3"/>
    <w:rsid w:val="00E836DA"/>
    <w:rsid w:val="00E83C6E"/>
    <w:rsid w:val="00E85388"/>
    <w:rsid w:val="00E85D01"/>
    <w:rsid w:val="00E85E08"/>
    <w:rsid w:val="00E8683E"/>
    <w:rsid w:val="00E86E6C"/>
    <w:rsid w:val="00E871E1"/>
    <w:rsid w:val="00E87F10"/>
    <w:rsid w:val="00E90206"/>
    <w:rsid w:val="00E9050B"/>
    <w:rsid w:val="00E91413"/>
    <w:rsid w:val="00E91437"/>
    <w:rsid w:val="00E91ED2"/>
    <w:rsid w:val="00E92192"/>
    <w:rsid w:val="00E925D1"/>
    <w:rsid w:val="00E92A8D"/>
    <w:rsid w:val="00E92C78"/>
    <w:rsid w:val="00E92F05"/>
    <w:rsid w:val="00E931EE"/>
    <w:rsid w:val="00E935CC"/>
    <w:rsid w:val="00E93CC0"/>
    <w:rsid w:val="00E93F44"/>
    <w:rsid w:val="00E94BD2"/>
    <w:rsid w:val="00E94E14"/>
    <w:rsid w:val="00E95237"/>
    <w:rsid w:val="00E9589B"/>
    <w:rsid w:val="00E95F26"/>
    <w:rsid w:val="00E96630"/>
    <w:rsid w:val="00E96EA1"/>
    <w:rsid w:val="00E97DB6"/>
    <w:rsid w:val="00E97F86"/>
    <w:rsid w:val="00EA0313"/>
    <w:rsid w:val="00EA0B7A"/>
    <w:rsid w:val="00EA0ECC"/>
    <w:rsid w:val="00EA1046"/>
    <w:rsid w:val="00EA1138"/>
    <w:rsid w:val="00EA16F7"/>
    <w:rsid w:val="00EA1808"/>
    <w:rsid w:val="00EA2385"/>
    <w:rsid w:val="00EA2EAC"/>
    <w:rsid w:val="00EA2FAE"/>
    <w:rsid w:val="00EA353B"/>
    <w:rsid w:val="00EA3760"/>
    <w:rsid w:val="00EA395B"/>
    <w:rsid w:val="00EA3B42"/>
    <w:rsid w:val="00EA3BBD"/>
    <w:rsid w:val="00EA4356"/>
    <w:rsid w:val="00EA454C"/>
    <w:rsid w:val="00EA4634"/>
    <w:rsid w:val="00EA57FD"/>
    <w:rsid w:val="00EA5A09"/>
    <w:rsid w:val="00EA5ADD"/>
    <w:rsid w:val="00EA626F"/>
    <w:rsid w:val="00EA6DBD"/>
    <w:rsid w:val="00EA7368"/>
    <w:rsid w:val="00EA76A8"/>
    <w:rsid w:val="00EA79E9"/>
    <w:rsid w:val="00EA7FD6"/>
    <w:rsid w:val="00EB06E3"/>
    <w:rsid w:val="00EB1074"/>
    <w:rsid w:val="00EB11DA"/>
    <w:rsid w:val="00EB1537"/>
    <w:rsid w:val="00EB171D"/>
    <w:rsid w:val="00EB1C12"/>
    <w:rsid w:val="00EB1EF7"/>
    <w:rsid w:val="00EB2245"/>
    <w:rsid w:val="00EB29C5"/>
    <w:rsid w:val="00EB2A80"/>
    <w:rsid w:val="00EB302B"/>
    <w:rsid w:val="00EB3DD7"/>
    <w:rsid w:val="00EB487C"/>
    <w:rsid w:val="00EB494C"/>
    <w:rsid w:val="00EB4A62"/>
    <w:rsid w:val="00EB5395"/>
    <w:rsid w:val="00EB58BE"/>
    <w:rsid w:val="00EB5BB7"/>
    <w:rsid w:val="00EB5E9C"/>
    <w:rsid w:val="00EB6011"/>
    <w:rsid w:val="00EB61B2"/>
    <w:rsid w:val="00EB6C64"/>
    <w:rsid w:val="00EB701F"/>
    <w:rsid w:val="00EB762A"/>
    <w:rsid w:val="00EC0F06"/>
    <w:rsid w:val="00EC1235"/>
    <w:rsid w:val="00EC1BFD"/>
    <w:rsid w:val="00EC1FFA"/>
    <w:rsid w:val="00EC2017"/>
    <w:rsid w:val="00EC210A"/>
    <w:rsid w:val="00EC21D3"/>
    <w:rsid w:val="00EC29CA"/>
    <w:rsid w:val="00EC3142"/>
    <w:rsid w:val="00EC42F8"/>
    <w:rsid w:val="00EC4771"/>
    <w:rsid w:val="00EC478C"/>
    <w:rsid w:val="00EC4E8C"/>
    <w:rsid w:val="00EC4ECE"/>
    <w:rsid w:val="00EC53F7"/>
    <w:rsid w:val="00EC562F"/>
    <w:rsid w:val="00EC56E2"/>
    <w:rsid w:val="00EC5838"/>
    <w:rsid w:val="00EC6001"/>
    <w:rsid w:val="00EC6266"/>
    <w:rsid w:val="00EC6E36"/>
    <w:rsid w:val="00EC75FA"/>
    <w:rsid w:val="00EC7E34"/>
    <w:rsid w:val="00EC7FB5"/>
    <w:rsid w:val="00ED0269"/>
    <w:rsid w:val="00ED1318"/>
    <w:rsid w:val="00ED172D"/>
    <w:rsid w:val="00ED1AF9"/>
    <w:rsid w:val="00ED1B20"/>
    <w:rsid w:val="00ED1B7C"/>
    <w:rsid w:val="00ED2070"/>
    <w:rsid w:val="00ED2148"/>
    <w:rsid w:val="00ED2DD2"/>
    <w:rsid w:val="00ED343B"/>
    <w:rsid w:val="00ED3767"/>
    <w:rsid w:val="00ED3923"/>
    <w:rsid w:val="00ED3A2F"/>
    <w:rsid w:val="00ED4022"/>
    <w:rsid w:val="00ED4517"/>
    <w:rsid w:val="00ED45BE"/>
    <w:rsid w:val="00ED4870"/>
    <w:rsid w:val="00ED4952"/>
    <w:rsid w:val="00ED4966"/>
    <w:rsid w:val="00ED49A1"/>
    <w:rsid w:val="00ED50BE"/>
    <w:rsid w:val="00ED54B2"/>
    <w:rsid w:val="00ED5DA4"/>
    <w:rsid w:val="00ED65A4"/>
    <w:rsid w:val="00ED6D08"/>
    <w:rsid w:val="00ED788B"/>
    <w:rsid w:val="00EE01A0"/>
    <w:rsid w:val="00EE057F"/>
    <w:rsid w:val="00EE087F"/>
    <w:rsid w:val="00EE0E2D"/>
    <w:rsid w:val="00EE10EC"/>
    <w:rsid w:val="00EE1315"/>
    <w:rsid w:val="00EE1E4C"/>
    <w:rsid w:val="00EE1FC2"/>
    <w:rsid w:val="00EE3177"/>
    <w:rsid w:val="00EE467B"/>
    <w:rsid w:val="00EE4EA8"/>
    <w:rsid w:val="00EE502D"/>
    <w:rsid w:val="00EE528B"/>
    <w:rsid w:val="00EE57C7"/>
    <w:rsid w:val="00EE5C2B"/>
    <w:rsid w:val="00EE61A5"/>
    <w:rsid w:val="00EE6840"/>
    <w:rsid w:val="00EE6EB3"/>
    <w:rsid w:val="00EF0392"/>
    <w:rsid w:val="00EF0F2A"/>
    <w:rsid w:val="00EF0F3B"/>
    <w:rsid w:val="00EF147E"/>
    <w:rsid w:val="00EF1515"/>
    <w:rsid w:val="00EF15D0"/>
    <w:rsid w:val="00EF15EE"/>
    <w:rsid w:val="00EF1903"/>
    <w:rsid w:val="00EF1A87"/>
    <w:rsid w:val="00EF1E30"/>
    <w:rsid w:val="00EF2478"/>
    <w:rsid w:val="00EF2754"/>
    <w:rsid w:val="00EF2E2D"/>
    <w:rsid w:val="00EF3274"/>
    <w:rsid w:val="00EF34D6"/>
    <w:rsid w:val="00EF3FB0"/>
    <w:rsid w:val="00EF4501"/>
    <w:rsid w:val="00EF452A"/>
    <w:rsid w:val="00EF4886"/>
    <w:rsid w:val="00EF4B19"/>
    <w:rsid w:val="00EF564C"/>
    <w:rsid w:val="00EF57C5"/>
    <w:rsid w:val="00EF5C2C"/>
    <w:rsid w:val="00EF5C45"/>
    <w:rsid w:val="00EF5FC6"/>
    <w:rsid w:val="00EF68C6"/>
    <w:rsid w:val="00EF6B48"/>
    <w:rsid w:val="00EF6CF5"/>
    <w:rsid w:val="00EF6DC4"/>
    <w:rsid w:val="00EF721E"/>
    <w:rsid w:val="00EF745E"/>
    <w:rsid w:val="00EF776A"/>
    <w:rsid w:val="00EF7882"/>
    <w:rsid w:val="00EF7ACF"/>
    <w:rsid w:val="00EF7D6D"/>
    <w:rsid w:val="00EF7E78"/>
    <w:rsid w:val="00F00197"/>
    <w:rsid w:val="00F002AB"/>
    <w:rsid w:val="00F004B3"/>
    <w:rsid w:val="00F00C10"/>
    <w:rsid w:val="00F01580"/>
    <w:rsid w:val="00F01DDE"/>
    <w:rsid w:val="00F0220C"/>
    <w:rsid w:val="00F02494"/>
    <w:rsid w:val="00F02593"/>
    <w:rsid w:val="00F027E2"/>
    <w:rsid w:val="00F028B4"/>
    <w:rsid w:val="00F02A9C"/>
    <w:rsid w:val="00F02EE3"/>
    <w:rsid w:val="00F0329D"/>
    <w:rsid w:val="00F03A9A"/>
    <w:rsid w:val="00F03C9D"/>
    <w:rsid w:val="00F03DCA"/>
    <w:rsid w:val="00F03EEE"/>
    <w:rsid w:val="00F04A1D"/>
    <w:rsid w:val="00F05403"/>
    <w:rsid w:val="00F05533"/>
    <w:rsid w:val="00F05CAE"/>
    <w:rsid w:val="00F05CB8"/>
    <w:rsid w:val="00F05FE9"/>
    <w:rsid w:val="00F062E8"/>
    <w:rsid w:val="00F06A5C"/>
    <w:rsid w:val="00F07628"/>
    <w:rsid w:val="00F102AA"/>
    <w:rsid w:val="00F1088D"/>
    <w:rsid w:val="00F10A40"/>
    <w:rsid w:val="00F111B4"/>
    <w:rsid w:val="00F11B5D"/>
    <w:rsid w:val="00F122F6"/>
    <w:rsid w:val="00F128AD"/>
    <w:rsid w:val="00F12BC6"/>
    <w:rsid w:val="00F12ECB"/>
    <w:rsid w:val="00F12ED4"/>
    <w:rsid w:val="00F13433"/>
    <w:rsid w:val="00F134AE"/>
    <w:rsid w:val="00F13918"/>
    <w:rsid w:val="00F13AE9"/>
    <w:rsid w:val="00F14859"/>
    <w:rsid w:val="00F14B96"/>
    <w:rsid w:val="00F14BA9"/>
    <w:rsid w:val="00F1509A"/>
    <w:rsid w:val="00F1522F"/>
    <w:rsid w:val="00F15625"/>
    <w:rsid w:val="00F15846"/>
    <w:rsid w:val="00F15855"/>
    <w:rsid w:val="00F15C38"/>
    <w:rsid w:val="00F15CD6"/>
    <w:rsid w:val="00F15EB9"/>
    <w:rsid w:val="00F15F6F"/>
    <w:rsid w:val="00F16478"/>
    <w:rsid w:val="00F16911"/>
    <w:rsid w:val="00F16E73"/>
    <w:rsid w:val="00F173C5"/>
    <w:rsid w:val="00F17964"/>
    <w:rsid w:val="00F179FC"/>
    <w:rsid w:val="00F17B9B"/>
    <w:rsid w:val="00F17C3B"/>
    <w:rsid w:val="00F17DA2"/>
    <w:rsid w:val="00F20354"/>
    <w:rsid w:val="00F20894"/>
    <w:rsid w:val="00F20BB3"/>
    <w:rsid w:val="00F20F13"/>
    <w:rsid w:val="00F20F16"/>
    <w:rsid w:val="00F211C4"/>
    <w:rsid w:val="00F21290"/>
    <w:rsid w:val="00F21585"/>
    <w:rsid w:val="00F221FF"/>
    <w:rsid w:val="00F2262F"/>
    <w:rsid w:val="00F22B25"/>
    <w:rsid w:val="00F22BEB"/>
    <w:rsid w:val="00F23C1E"/>
    <w:rsid w:val="00F23D7D"/>
    <w:rsid w:val="00F24C07"/>
    <w:rsid w:val="00F24C22"/>
    <w:rsid w:val="00F254E1"/>
    <w:rsid w:val="00F259B0"/>
    <w:rsid w:val="00F259F9"/>
    <w:rsid w:val="00F25A9D"/>
    <w:rsid w:val="00F26028"/>
    <w:rsid w:val="00F261CF"/>
    <w:rsid w:val="00F2639E"/>
    <w:rsid w:val="00F263B7"/>
    <w:rsid w:val="00F2670A"/>
    <w:rsid w:val="00F26974"/>
    <w:rsid w:val="00F26B5A"/>
    <w:rsid w:val="00F26E8B"/>
    <w:rsid w:val="00F26FD0"/>
    <w:rsid w:val="00F270E3"/>
    <w:rsid w:val="00F2719E"/>
    <w:rsid w:val="00F276E4"/>
    <w:rsid w:val="00F27AC2"/>
    <w:rsid w:val="00F27D99"/>
    <w:rsid w:val="00F308DD"/>
    <w:rsid w:val="00F30D83"/>
    <w:rsid w:val="00F314AD"/>
    <w:rsid w:val="00F32072"/>
    <w:rsid w:val="00F321C2"/>
    <w:rsid w:val="00F328A0"/>
    <w:rsid w:val="00F32ABA"/>
    <w:rsid w:val="00F32E2F"/>
    <w:rsid w:val="00F32E9D"/>
    <w:rsid w:val="00F33350"/>
    <w:rsid w:val="00F34342"/>
    <w:rsid w:val="00F34501"/>
    <w:rsid w:val="00F34D16"/>
    <w:rsid w:val="00F34F75"/>
    <w:rsid w:val="00F353A3"/>
    <w:rsid w:val="00F35425"/>
    <w:rsid w:val="00F35946"/>
    <w:rsid w:val="00F360EE"/>
    <w:rsid w:val="00F364DC"/>
    <w:rsid w:val="00F3673B"/>
    <w:rsid w:val="00F368BE"/>
    <w:rsid w:val="00F3703A"/>
    <w:rsid w:val="00F373CC"/>
    <w:rsid w:val="00F3767F"/>
    <w:rsid w:val="00F37EDD"/>
    <w:rsid w:val="00F401C4"/>
    <w:rsid w:val="00F40601"/>
    <w:rsid w:val="00F40699"/>
    <w:rsid w:val="00F407A8"/>
    <w:rsid w:val="00F407E9"/>
    <w:rsid w:val="00F40A13"/>
    <w:rsid w:val="00F414FB"/>
    <w:rsid w:val="00F41702"/>
    <w:rsid w:val="00F41B4A"/>
    <w:rsid w:val="00F41E75"/>
    <w:rsid w:val="00F42219"/>
    <w:rsid w:val="00F4236A"/>
    <w:rsid w:val="00F4296B"/>
    <w:rsid w:val="00F42DCE"/>
    <w:rsid w:val="00F431E3"/>
    <w:rsid w:val="00F432DE"/>
    <w:rsid w:val="00F433B4"/>
    <w:rsid w:val="00F4387F"/>
    <w:rsid w:val="00F4399F"/>
    <w:rsid w:val="00F43A4B"/>
    <w:rsid w:val="00F43B0F"/>
    <w:rsid w:val="00F43BCA"/>
    <w:rsid w:val="00F44BA6"/>
    <w:rsid w:val="00F44E6D"/>
    <w:rsid w:val="00F45354"/>
    <w:rsid w:val="00F45477"/>
    <w:rsid w:val="00F4576D"/>
    <w:rsid w:val="00F458A5"/>
    <w:rsid w:val="00F45A44"/>
    <w:rsid w:val="00F45AEA"/>
    <w:rsid w:val="00F45AFE"/>
    <w:rsid w:val="00F45C13"/>
    <w:rsid w:val="00F45EAC"/>
    <w:rsid w:val="00F466E5"/>
    <w:rsid w:val="00F4697D"/>
    <w:rsid w:val="00F4706D"/>
    <w:rsid w:val="00F4729C"/>
    <w:rsid w:val="00F477AE"/>
    <w:rsid w:val="00F5008A"/>
    <w:rsid w:val="00F50571"/>
    <w:rsid w:val="00F509D3"/>
    <w:rsid w:val="00F516ED"/>
    <w:rsid w:val="00F5173C"/>
    <w:rsid w:val="00F517D1"/>
    <w:rsid w:val="00F51859"/>
    <w:rsid w:val="00F5297A"/>
    <w:rsid w:val="00F5297D"/>
    <w:rsid w:val="00F52AB1"/>
    <w:rsid w:val="00F52C49"/>
    <w:rsid w:val="00F5311F"/>
    <w:rsid w:val="00F53B36"/>
    <w:rsid w:val="00F5453D"/>
    <w:rsid w:val="00F54693"/>
    <w:rsid w:val="00F54970"/>
    <w:rsid w:val="00F54AB5"/>
    <w:rsid w:val="00F54FF0"/>
    <w:rsid w:val="00F558F3"/>
    <w:rsid w:val="00F55F0F"/>
    <w:rsid w:val="00F560C6"/>
    <w:rsid w:val="00F56258"/>
    <w:rsid w:val="00F5638B"/>
    <w:rsid w:val="00F56613"/>
    <w:rsid w:val="00F56763"/>
    <w:rsid w:val="00F568D8"/>
    <w:rsid w:val="00F56C19"/>
    <w:rsid w:val="00F56F78"/>
    <w:rsid w:val="00F5733A"/>
    <w:rsid w:val="00F579B2"/>
    <w:rsid w:val="00F57D21"/>
    <w:rsid w:val="00F57EDE"/>
    <w:rsid w:val="00F57F3F"/>
    <w:rsid w:val="00F60032"/>
    <w:rsid w:val="00F6003F"/>
    <w:rsid w:val="00F6014F"/>
    <w:rsid w:val="00F601B5"/>
    <w:rsid w:val="00F602E2"/>
    <w:rsid w:val="00F606AC"/>
    <w:rsid w:val="00F606ED"/>
    <w:rsid w:val="00F609C2"/>
    <w:rsid w:val="00F60C0A"/>
    <w:rsid w:val="00F6110B"/>
    <w:rsid w:val="00F614D2"/>
    <w:rsid w:val="00F617F6"/>
    <w:rsid w:val="00F61CCB"/>
    <w:rsid w:val="00F6227B"/>
    <w:rsid w:val="00F625E7"/>
    <w:rsid w:val="00F62F0C"/>
    <w:rsid w:val="00F62FAF"/>
    <w:rsid w:val="00F632D7"/>
    <w:rsid w:val="00F637C7"/>
    <w:rsid w:val="00F63927"/>
    <w:rsid w:val="00F658A9"/>
    <w:rsid w:val="00F65D98"/>
    <w:rsid w:val="00F66275"/>
    <w:rsid w:val="00F66AC6"/>
    <w:rsid w:val="00F67B2B"/>
    <w:rsid w:val="00F67BBB"/>
    <w:rsid w:val="00F67E8B"/>
    <w:rsid w:val="00F701EA"/>
    <w:rsid w:val="00F70283"/>
    <w:rsid w:val="00F71597"/>
    <w:rsid w:val="00F71B1F"/>
    <w:rsid w:val="00F727AF"/>
    <w:rsid w:val="00F7363A"/>
    <w:rsid w:val="00F73CEC"/>
    <w:rsid w:val="00F742A8"/>
    <w:rsid w:val="00F74904"/>
    <w:rsid w:val="00F75B68"/>
    <w:rsid w:val="00F75BBA"/>
    <w:rsid w:val="00F76084"/>
    <w:rsid w:val="00F76533"/>
    <w:rsid w:val="00F76A23"/>
    <w:rsid w:val="00F76CA4"/>
    <w:rsid w:val="00F76D1D"/>
    <w:rsid w:val="00F770E7"/>
    <w:rsid w:val="00F7710F"/>
    <w:rsid w:val="00F77384"/>
    <w:rsid w:val="00F773CB"/>
    <w:rsid w:val="00F774EB"/>
    <w:rsid w:val="00F77856"/>
    <w:rsid w:val="00F77A70"/>
    <w:rsid w:val="00F77D7C"/>
    <w:rsid w:val="00F77ECC"/>
    <w:rsid w:val="00F77F61"/>
    <w:rsid w:val="00F814EF"/>
    <w:rsid w:val="00F8192F"/>
    <w:rsid w:val="00F821C8"/>
    <w:rsid w:val="00F82261"/>
    <w:rsid w:val="00F82513"/>
    <w:rsid w:val="00F82C29"/>
    <w:rsid w:val="00F835F7"/>
    <w:rsid w:val="00F83C27"/>
    <w:rsid w:val="00F83D65"/>
    <w:rsid w:val="00F84222"/>
    <w:rsid w:val="00F84269"/>
    <w:rsid w:val="00F84294"/>
    <w:rsid w:val="00F84750"/>
    <w:rsid w:val="00F847C9"/>
    <w:rsid w:val="00F85672"/>
    <w:rsid w:val="00F85D37"/>
    <w:rsid w:val="00F8601B"/>
    <w:rsid w:val="00F860F7"/>
    <w:rsid w:val="00F86604"/>
    <w:rsid w:val="00F869C2"/>
    <w:rsid w:val="00F872D9"/>
    <w:rsid w:val="00F87432"/>
    <w:rsid w:val="00F87997"/>
    <w:rsid w:val="00F87BD6"/>
    <w:rsid w:val="00F901BE"/>
    <w:rsid w:val="00F90602"/>
    <w:rsid w:val="00F917BA"/>
    <w:rsid w:val="00F918EA"/>
    <w:rsid w:val="00F9203C"/>
    <w:rsid w:val="00F92697"/>
    <w:rsid w:val="00F92929"/>
    <w:rsid w:val="00F92B19"/>
    <w:rsid w:val="00F92F2C"/>
    <w:rsid w:val="00F9302E"/>
    <w:rsid w:val="00F93D88"/>
    <w:rsid w:val="00F94037"/>
    <w:rsid w:val="00F940D7"/>
    <w:rsid w:val="00F948D1"/>
    <w:rsid w:val="00F96059"/>
    <w:rsid w:val="00F96D2D"/>
    <w:rsid w:val="00F9749F"/>
    <w:rsid w:val="00F979FF"/>
    <w:rsid w:val="00F97E1D"/>
    <w:rsid w:val="00FA0332"/>
    <w:rsid w:val="00FA08A9"/>
    <w:rsid w:val="00FA0BE4"/>
    <w:rsid w:val="00FA0CAA"/>
    <w:rsid w:val="00FA1293"/>
    <w:rsid w:val="00FA12B9"/>
    <w:rsid w:val="00FA204C"/>
    <w:rsid w:val="00FA20AA"/>
    <w:rsid w:val="00FA2CCC"/>
    <w:rsid w:val="00FA3AD4"/>
    <w:rsid w:val="00FA3B6B"/>
    <w:rsid w:val="00FA3DD7"/>
    <w:rsid w:val="00FA47D3"/>
    <w:rsid w:val="00FA4B79"/>
    <w:rsid w:val="00FA5099"/>
    <w:rsid w:val="00FA5245"/>
    <w:rsid w:val="00FA585A"/>
    <w:rsid w:val="00FA5900"/>
    <w:rsid w:val="00FA5C70"/>
    <w:rsid w:val="00FA5C88"/>
    <w:rsid w:val="00FA61D2"/>
    <w:rsid w:val="00FA6503"/>
    <w:rsid w:val="00FA67F4"/>
    <w:rsid w:val="00FA6B87"/>
    <w:rsid w:val="00FA6CBE"/>
    <w:rsid w:val="00FA6FA5"/>
    <w:rsid w:val="00FA6FEC"/>
    <w:rsid w:val="00FA74C0"/>
    <w:rsid w:val="00FA7547"/>
    <w:rsid w:val="00FA7FD3"/>
    <w:rsid w:val="00FB0292"/>
    <w:rsid w:val="00FB0904"/>
    <w:rsid w:val="00FB0A7D"/>
    <w:rsid w:val="00FB0E66"/>
    <w:rsid w:val="00FB12BD"/>
    <w:rsid w:val="00FB13FB"/>
    <w:rsid w:val="00FB13FE"/>
    <w:rsid w:val="00FB16CB"/>
    <w:rsid w:val="00FB1889"/>
    <w:rsid w:val="00FB1AD6"/>
    <w:rsid w:val="00FB1B4B"/>
    <w:rsid w:val="00FB22EE"/>
    <w:rsid w:val="00FB23B4"/>
    <w:rsid w:val="00FB37EA"/>
    <w:rsid w:val="00FB41F8"/>
    <w:rsid w:val="00FB4304"/>
    <w:rsid w:val="00FB47FC"/>
    <w:rsid w:val="00FB4912"/>
    <w:rsid w:val="00FB499C"/>
    <w:rsid w:val="00FB537B"/>
    <w:rsid w:val="00FB54F0"/>
    <w:rsid w:val="00FB56DE"/>
    <w:rsid w:val="00FB64D1"/>
    <w:rsid w:val="00FB659F"/>
    <w:rsid w:val="00FB66C2"/>
    <w:rsid w:val="00FB66FB"/>
    <w:rsid w:val="00FB6A92"/>
    <w:rsid w:val="00FB6ABB"/>
    <w:rsid w:val="00FB6B5C"/>
    <w:rsid w:val="00FB6E22"/>
    <w:rsid w:val="00FB766B"/>
    <w:rsid w:val="00FB7AF7"/>
    <w:rsid w:val="00FC0509"/>
    <w:rsid w:val="00FC11F3"/>
    <w:rsid w:val="00FC1368"/>
    <w:rsid w:val="00FC1CF5"/>
    <w:rsid w:val="00FC1D3B"/>
    <w:rsid w:val="00FC1F74"/>
    <w:rsid w:val="00FC2C57"/>
    <w:rsid w:val="00FC303F"/>
    <w:rsid w:val="00FC32AD"/>
    <w:rsid w:val="00FC343C"/>
    <w:rsid w:val="00FC3BDA"/>
    <w:rsid w:val="00FC51CF"/>
    <w:rsid w:val="00FC57F1"/>
    <w:rsid w:val="00FC5ADA"/>
    <w:rsid w:val="00FC5C8C"/>
    <w:rsid w:val="00FC6633"/>
    <w:rsid w:val="00FC671E"/>
    <w:rsid w:val="00FC6A42"/>
    <w:rsid w:val="00FC7062"/>
    <w:rsid w:val="00FC7290"/>
    <w:rsid w:val="00FC75B6"/>
    <w:rsid w:val="00FC787C"/>
    <w:rsid w:val="00FC7C5B"/>
    <w:rsid w:val="00FC7DFA"/>
    <w:rsid w:val="00FD0315"/>
    <w:rsid w:val="00FD050E"/>
    <w:rsid w:val="00FD0E06"/>
    <w:rsid w:val="00FD11F6"/>
    <w:rsid w:val="00FD1893"/>
    <w:rsid w:val="00FD1937"/>
    <w:rsid w:val="00FD2160"/>
    <w:rsid w:val="00FD2711"/>
    <w:rsid w:val="00FD2795"/>
    <w:rsid w:val="00FD2990"/>
    <w:rsid w:val="00FD371D"/>
    <w:rsid w:val="00FD37BF"/>
    <w:rsid w:val="00FD3B9B"/>
    <w:rsid w:val="00FD3FD9"/>
    <w:rsid w:val="00FD4428"/>
    <w:rsid w:val="00FD45AC"/>
    <w:rsid w:val="00FD4811"/>
    <w:rsid w:val="00FD50DC"/>
    <w:rsid w:val="00FD50F2"/>
    <w:rsid w:val="00FD52A5"/>
    <w:rsid w:val="00FD62B5"/>
    <w:rsid w:val="00FD76D4"/>
    <w:rsid w:val="00FD76E6"/>
    <w:rsid w:val="00FD76ED"/>
    <w:rsid w:val="00FD7DC5"/>
    <w:rsid w:val="00FE07F9"/>
    <w:rsid w:val="00FE0922"/>
    <w:rsid w:val="00FE099B"/>
    <w:rsid w:val="00FE09C0"/>
    <w:rsid w:val="00FE0AE5"/>
    <w:rsid w:val="00FE0B52"/>
    <w:rsid w:val="00FE0CBF"/>
    <w:rsid w:val="00FE0DAB"/>
    <w:rsid w:val="00FE0EA9"/>
    <w:rsid w:val="00FE1524"/>
    <w:rsid w:val="00FE1EE8"/>
    <w:rsid w:val="00FE2E1F"/>
    <w:rsid w:val="00FE3312"/>
    <w:rsid w:val="00FE34B8"/>
    <w:rsid w:val="00FE35A0"/>
    <w:rsid w:val="00FE3C73"/>
    <w:rsid w:val="00FE4208"/>
    <w:rsid w:val="00FE49A8"/>
    <w:rsid w:val="00FE4DE3"/>
    <w:rsid w:val="00FE528D"/>
    <w:rsid w:val="00FE625D"/>
    <w:rsid w:val="00FE6FFF"/>
    <w:rsid w:val="00FE765A"/>
    <w:rsid w:val="00FE7BA1"/>
    <w:rsid w:val="00FE7F36"/>
    <w:rsid w:val="00FF0027"/>
    <w:rsid w:val="00FF0155"/>
    <w:rsid w:val="00FF0282"/>
    <w:rsid w:val="00FF0345"/>
    <w:rsid w:val="00FF077D"/>
    <w:rsid w:val="00FF184F"/>
    <w:rsid w:val="00FF197C"/>
    <w:rsid w:val="00FF24E5"/>
    <w:rsid w:val="00FF287B"/>
    <w:rsid w:val="00FF2882"/>
    <w:rsid w:val="00FF28C0"/>
    <w:rsid w:val="00FF2E31"/>
    <w:rsid w:val="00FF356C"/>
    <w:rsid w:val="00FF3BD0"/>
    <w:rsid w:val="00FF3CEE"/>
    <w:rsid w:val="00FF3F15"/>
    <w:rsid w:val="00FF40AB"/>
    <w:rsid w:val="00FF4610"/>
    <w:rsid w:val="00FF4FCB"/>
    <w:rsid w:val="00FF56F1"/>
    <w:rsid w:val="00FF5A94"/>
    <w:rsid w:val="00FF5BF7"/>
    <w:rsid w:val="00FF5E25"/>
    <w:rsid w:val="00FF6766"/>
    <w:rsid w:val="00FF6AD9"/>
    <w:rsid w:val="00FF6AFD"/>
    <w:rsid w:val="00FF7388"/>
    <w:rsid w:val="00FF7918"/>
    <w:rsid w:val="047598DD"/>
    <w:rsid w:val="0559CF17"/>
    <w:rsid w:val="087198FC"/>
    <w:rsid w:val="0A8EAC8E"/>
    <w:rsid w:val="1659BEF5"/>
    <w:rsid w:val="1F4FB8EA"/>
    <w:rsid w:val="24CC3DB8"/>
    <w:rsid w:val="278F5373"/>
    <w:rsid w:val="376505CF"/>
    <w:rsid w:val="4829A76A"/>
    <w:rsid w:val="5BB39FE7"/>
    <w:rsid w:val="5DCF7FC0"/>
    <w:rsid w:val="60AF370B"/>
    <w:rsid w:val="72023A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B6D9D9"/>
  <w15:docId w15:val="{58C5CB24-D1BE-4B6D-A731-635288ECB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lsdException w:name="annotation text" w:semiHidden="1" w:unhideWhenUsed="1"/>
    <w:lsdException w:name="header" w:semiHidden="1"/>
    <w:lsdException w:name="footer" w:semiHidden="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uiPriority="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unhideWhenUsed="1" w:qFormat="1"/>
    <w:lsdException w:name="Bibliography" w:semiHidden="1"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345"/>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Normal"/>
    <w:link w:val="Heading1Char"/>
    <w:uiPriority w:val="9"/>
    <w:qFormat/>
    <w:rsid w:val="00FF0345"/>
    <w:pPr>
      <w:keepNext/>
      <w:keepLines/>
      <w:spacing w:before="400" w:after="40" w:line="240" w:lineRule="auto"/>
      <w:outlineLvl w:val="0"/>
    </w:pPr>
    <w:rPr>
      <w:rFonts w:asciiTheme="majorHAnsi" w:eastAsiaTheme="majorEastAsia" w:hAnsiTheme="majorHAnsi" w:cstheme="majorBidi"/>
      <w:color w:val="783F04" w:themeColor="accent1" w:themeShade="80"/>
      <w:sz w:val="36"/>
      <w:szCs w:val="3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Normal"/>
    <w:link w:val="Heading2Char"/>
    <w:uiPriority w:val="9"/>
    <w:unhideWhenUsed/>
    <w:qFormat/>
    <w:rsid w:val="00FF0345"/>
    <w:pPr>
      <w:keepNext/>
      <w:keepLines/>
      <w:spacing w:before="40" w:after="0" w:line="240" w:lineRule="auto"/>
      <w:outlineLvl w:val="1"/>
    </w:pPr>
    <w:rPr>
      <w:rFonts w:asciiTheme="majorHAnsi" w:eastAsiaTheme="majorEastAsia" w:hAnsiTheme="majorHAnsi" w:cstheme="majorBidi"/>
      <w:color w:val="B35E06" w:themeColor="accent1" w:themeShade="BF"/>
      <w:sz w:val="32"/>
      <w:szCs w:val="32"/>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Chap 1,L3"/>
    <w:basedOn w:val="Normal"/>
    <w:next w:val="Normal"/>
    <w:link w:val="Heading3Char"/>
    <w:uiPriority w:val="9"/>
    <w:unhideWhenUsed/>
    <w:qFormat/>
    <w:rsid w:val="00FF0345"/>
    <w:pPr>
      <w:keepNext/>
      <w:keepLines/>
      <w:spacing w:before="40" w:after="0" w:line="240" w:lineRule="auto"/>
      <w:outlineLvl w:val="2"/>
    </w:pPr>
    <w:rPr>
      <w:rFonts w:asciiTheme="majorHAnsi" w:eastAsiaTheme="majorEastAsia" w:hAnsiTheme="majorHAnsi" w:cstheme="majorBidi"/>
      <w:color w:val="B35E06" w:themeColor="accent1" w:themeShade="BF"/>
      <w:sz w:val="28"/>
      <w:szCs w:val="28"/>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Normal"/>
    <w:link w:val="Heading4Char"/>
    <w:uiPriority w:val="9"/>
    <w:unhideWhenUsed/>
    <w:qFormat/>
    <w:rsid w:val="00FF0345"/>
    <w:pPr>
      <w:keepNext/>
      <w:keepLines/>
      <w:spacing w:before="40" w:after="0"/>
      <w:outlineLvl w:val="3"/>
    </w:pPr>
    <w:rPr>
      <w:rFonts w:asciiTheme="majorHAnsi" w:eastAsiaTheme="majorEastAsia" w:hAnsiTheme="majorHAnsi" w:cstheme="majorBidi"/>
      <w:color w:val="B35E06" w:themeColor="accent1" w:themeShade="BF"/>
      <w:sz w:val="24"/>
      <w:szCs w:val="24"/>
    </w:rPr>
  </w:style>
  <w:style w:type="paragraph" w:styleId="Heading5">
    <w:name w:val="heading 5"/>
    <w:aliases w:val="h5,heading 5,D Head,Block Label,OG Appendix,RSKH5,Figure,Further Points"/>
    <w:basedOn w:val="Normal"/>
    <w:next w:val="Normal"/>
    <w:link w:val="Heading5Char"/>
    <w:uiPriority w:val="9"/>
    <w:unhideWhenUsed/>
    <w:qFormat/>
    <w:rsid w:val="00FF0345"/>
    <w:pPr>
      <w:keepNext/>
      <w:keepLines/>
      <w:spacing w:before="40" w:after="0"/>
      <w:outlineLvl w:val="4"/>
    </w:pPr>
    <w:rPr>
      <w:rFonts w:asciiTheme="majorHAnsi" w:eastAsiaTheme="majorEastAsia" w:hAnsiTheme="majorHAnsi" w:cstheme="majorBidi"/>
      <w:caps/>
      <w:color w:val="B35E06" w:themeColor="accent1" w:themeShade="BF"/>
    </w:rPr>
  </w:style>
  <w:style w:type="paragraph" w:styleId="Heading6">
    <w:name w:val="heading 6"/>
    <w:aliases w:val="Do Not Use 6,sub-dash,sd,5,Şekil Dizini Otomatik,Über 6,Points in Text,not Kinhill,Points in Text1,Points in Text2,Points in Text3,Points in Text4,Points in Text5,Points in Text11,Points in Text21,Points in Text6,Points in Text12,H6,l6,h6"/>
    <w:basedOn w:val="Normal"/>
    <w:next w:val="Normal"/>
    <w:link w:val="Heading6Char"/>
    <w:uiPriority w:val="9"/>
    <w:unhideWhenUsed/>
    <w:qFormat/>
    <w:rsid w:val="00FF0345"/>
    <w:pPr>
      <w:keepNext/>
      <w:keepLines/>
      <w:spacing w:before="40" w:after="0"/>
      <w:outlineLvl w:val="5"/>
    </w:pPr>
    <w:rPr>
      <w:rFonts w:asciiTheme="majorHAnsi" w:eastAsiaTheme="majorEastAsia" w:hAnsiTheme="majorHAnsi" w:cstheme="majorBidi"/>
      <w:i/>
      <w:iCs/>
      <w:caps/>
      <w:color w:val="783F04" w:themeColor="accent1" w:themeShade="80"/>
    </w:rPr>
  </w:style>
  <w:style w:type="paragraph" w:styleId="Heading7">
    <w:name w:val="heading 7"/>
    <w:basedOn w:val="Normal"/>
    <w:next w:val="Normal"/>
    <w:link w:val="Heading7Char"/>
    <w:uiPriority w:val="9"/>
    <w:unhideWhenUsed/>
    <w:qFormat/>
    <w:rsid w:val="00FF0345"/>
    <w:pPr>
      <w:keepNext/>
      <w:keepLines/>
      <w:spacing w:before="40" w:after="0"/>
      <w:outlineLvl w:val="6"/>
    </w:pPr>
    <w:rPr>
      <w:rFonts w:asciiTheme="majorHAnsi" w:eastAsiaTheme="majorEastAsia" w:hAnsiTheme="majorHAnsi" w:cstheme="majorBidi"/>
      <w:b/>
      <w:bCs/>
      <w:color w:val="783F04" w:themeColor="accent1" w:themeShade="80"/>
    </w:rPr>
  </w:style>
  <w:style w:type="paragraph" w:styleId="Heading8">
    <w:name w:val="heading 8"/>
    <w:basedOn w:val="Normal"/>
    <w:next w:val="Normal"/>
    <w:link w:val="Heading8Char"/>
    <w:uiPriority w:val="9"/>
    <w:unhideWhenUsed/>
    <w:qFormat/>
    <w:rsid w:val="00FF0345"/>
    <w:pPr>
      <w:keepNext/>
      <w:keepLines/>
      <w:spacing w:before="40" w:after="0"/>
      <w:outlineLvl w:val="7"/>
    </w:pPr>
    <w:rPr>
      <w:rFonts w:asciiTheme="majorHAnsi" w:eastAsiaTheme="majorEastAsia" w:hAnsiTheme="majorHAnsi" w:cstheme="majorBidi"/>
      <w:b/>
      <w:bCs/>
      <w:i/>
      <w:iCs/>
      <w:color w:val="783F04" w:themeColor="accent1" w:themeShade="80"/>
    </w:rPr>
  </w:style>
  <w:style w:type="paragraph" w:styleId="Heading9">
    <w:name w:val="heading 9"/>
    <w:basedOn w:val="Normal"/>
    <w:next w:val="Normal"/>
    <w:link w:val="Heading9Char"/>
    <w:uiPriority w:val="9"/>
    <w:unhideWhenUsed/>
    <w:qFormat/>
    <w:rsid w:val="00FF0345"/>
    <w:pPr>
      <w:keepNext/>
      <w:keepLines/>
      <w:spacing w:before="40" w:after="0"/>
      <w:outlineLvl w:val="8"/>
    </w:pPr>
    <w:rPr>
      <w:rFonts w:asciiTheme="majorHAnsi" w:eastAsiaTheme="majorEastAsia" w:hAnsiTheme="majorHAnsi" w:cstheme="majorBidi"/>
      <w:i/>
      <w:iCs/>
      <w:color w:val="783F0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uiPriority w:val="9"/>
    <w:rsid w:val="00FF0345"/>
    <w:rPr>
      <w:rFonts w:asciiTheme="majorHAnsi" w:eastAsiaTheme="majorEastAsia" w:hAnsiTheme="majorHAnsi" w:cstheme="majorBidi"/>
      <w:color w:val="783F04" w:themeColor="accent1" w:themeShade="80"/>
      <w:sz w:val="36"/>
      <w:szCs w:val="36"/>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uiPriority w:val="9"/>
    <w:rsid w:val="00FF0345"/>
    <w:rPr>
      <w:rFonts w:asciiTheme="majorHAnsi" w:eastAsiaTheme="majorEastAsia" w:hAnsiTheme="majorHAnsi" w:cstheme="majorBidi"/>
      <w:color w:val="B35E06" w:themeColor="accent1" w:themeShade="BF"/>
      <w:sz w:val="32"/>
      <w:szCs w:val="32"/>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uiPriority w:val="9"/>
    <w:rsid w:val="00FF0345"/>
    <w:rPr>
      <w:rFonts w:asciiTheme="majorHAnsi" w:eastAsiaTheme="majorEastAsia" w:hAnsiTheme="majorHAnsi" w:cstheme="majorBidi"/>
      <w:color w:val="B35E06" w:themeColor="accent1" w:themeShade="BF"/>
      <w:sz w:val="28"/>
      <w:szCs w:val="28"/>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uiPriority w:val="9"/>
    <w:rsid w:val="00FF0345"/>
    <w:rPr>
      <w:rFonts w:asciiTheme="majorHAnsi" w:eastAsiaTheme="majorEastAsia" w:hAnsiTheme="majorHAnsi" w:cstheme="majorBidi"/>
      <w:color w:val="B35E06" w:themeColor="accent1" w:themeShade="BF"/>
      <w:sz w:val="24"/>
      <w:szCs w:val="24"/>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uiPriority w:val="1"/>
    <w:rsid w:val="00BC4FA9"/>
    <w:pPr>
      <w:spacing w:before="40" w:after="140" w:line="280" w:lineRule="atLeast"/>
      <w:jc w:val="both"/>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uiPriority w:val="1"/>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aliases w:val="h5 Char,heading 5 Char,D Head Char,Block Label Char,OG Appendix Char,RSKH5 Char,Figure Char,Further Points Char"/>
    <w:basedOn w:val="DefaultParagraphFont"/>
    <w:link w:val="Heading5"/>
    <w:uiPriority w:val="9"/>
    <w:rsid w:val="00FF0345"/>
    <w:rPr>
      <w:rFonts w:asciiTheme="majorHAnsi" w:eastAsiaTheme="majorEastAsia" w:hAnsiTheme="majorHAnsi" w:cstheme="majorBidi"/>
      <w:caps/>
      <w:color w:val="B35E06" w:themeColor="accent1" w:themeShade="BF"/>
    </w:rPr>
  </w:style>
  <w:style w:type="character" w:customStyle="1" w:styleId="Heading6Char">
    <w:name w:val="Heading 6 Char"/>
    <w:aliases w:val="Do Not Use 6 Char,sub-dash Char,sd Char,5 Char,Şekil Dizini Otomatik Char,Über 6 Char,Points in Text Char,not Kinhill Char,Points in Text1 Char,Points in Text2 Char,Points in Text3 Char,Points in Text4 Char,Points in Text5 Char,H6 Char"/>
    <w:basedOn w:val="DefaultParagraphFont"/>
    <w:link w:val="Heading6"/>
    <w:uiPriority w:val="9"/>
    <w:rsid w:val="00FF0345"/>
    <w:rPr>
      <w:rFonts w:asciiTheme="majorHAnsi" w:eastAsiaTheme="majorEastAsia" w:hAnsiTheme="majorHAnsi" w:cstheme="majorBidi"/>
      <w:i/>
      <w:iCs/>
      <w:caps/>
      <w:color w:val="783F04" w:themeColor="accent1" w:themeShade="80"/>
    </w:rPr>
  </w:style>
  <w:style w:type="character" w:customStyle="1" w:styleId="Heading7Char">
    <w:name w:val="Heading 7 Char"/>
    <w:basedOn w:val="DefaultParagraphFont"/>
    <w:link w:val="Heading7"/>
    <w:uiPriority w:val="9"/>
    <w:rsid w:val="00FF0345"/>
    <w:rPr>
      <w:rFonts w:asciiTheme="majorHAnsi" w:eastAsiaTheme="majorEastAsia" w:hAnsiTheme="majorHAnsi" w:cstheme="majorBidi"/>
      <w:b/>
      <w:bCs/>
      <w:color w:val="783F04" w:themeColor="accent1" w:themeShade="80"/>
    </w:rPr>
  </w:style>
  <w:style w:type="character" w:customStyle="1" w:styleId="Heading8Char">
    <w:name w:val="Heading 8 Char"/>
    <w:basedOn w:val="DefaultParagraphFont"/>
    <w:link w:val="Heading8"/>
    <w:uiPriority w:val="9"/>
    <w:rsid w:val="00FF0345"/>
    <w:rPr>
      <w:rFonts w:asciiTheme="majorHAnsi" w:eastAsiaTheme="majorEastAsia" w:hAnsiTheme="majorHAnsi" w:cstheme="majorBidi"/>
      <w:b/>
      <w:bCs/>
      <w:i/>
      <w:iCs/>
      <w:color w:val="783F04" w:themeColor="accent1" w:themeShade="80"/>
    </w:rPr>
  </w:style>
  <w:style w:type="character" w:customStyle="1" w:styleId="Heading9Char">
    <w:name w:val="Heading 9 Char"/>
    <w:basedOn w:val="DefaultParagraphFont"/>
    <w:link w:val="Heading9"/>
    <w:uiPriority w:val="9"/>
    <w:rsid w:val="00FF0345"/>
    <w:rPr>
      <w:rFonts w:asciiTheme="majorHAnsi" w:eastAsiaTheme="majorEastAsia" w:hAnsiTheme="majorHAnsi" w:cstheme="majorBidi"/>
      <w:i/>
      <w:iCs/>
      <w:color w:val="783F04" w:themeColor="accent1" w:themeShade="80"/>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39"/>
    <w:unhideWhenUsed/>
    <w:rsid w:val="00866BDC"/>
    <w:pPr>
      <w:tabs>
        <w:tab w:val="right" w:pos="9581"/>
      </w:tabs>
      <w:ind w:left="1417" w:right="850" w:hanging="1417"/>
    </w:pPr>
    <w:rPr>
      <w:noProof/>
    </w:rPr>
  </w:style>
  <w:style w:type="paragraph" w:styleId="TOC5">
    <w:name w:val="toc 5"/>
    <w:basedOn w:val="Normal"/>
    <w:uiPriority w:val="39"/>
    <w:unhideWhenUsed/>
    <w:rsid w:val="00866BDC"/>
    <w:pPr>
      <w:tabs>
        <w:tab w:val="right" w:pos="9581"/>
      </w:tabs>
      <w:ind w:left="1417" w:right="850" w:hanging="1417"/>
    </w:pPr>
    <w:rPr>
      <w:noProof/>
    </w:rPr>
  </w:style>
  <w:style w:type="paragraph" w:styleId="TOC6">
    <w:name w:val="toc 6"/>
    <w:basedOn w:val="TOC1"/>
    <w:uiPriority w:val="39"/>
    <w:unhideWhenUsed/>
    <w:rsid w:val="00866BDC"/>
  </w:style>
  <w:style w:type="paragraph" w:styleId="TOC7">
    <w:name w:val="toc 7"/>
    <w:basedOn w:val="TOC2"/>
    <w:uiPriority w:val="39"/>
    <w:unhideWhenUsed/>
    <w:rsid w:val="00866BDC"/>
  </w:style>
  <w:style w:type="paragraph" w:styleId="TOC8">
    <w:name w:val="toc 8"/>
    <w:basedOn w:val="TOC4"/>
    <w:uiPriority w:val="39"/>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Normal"/>
    <w:link w:val="CaptionChar"/>
    <w:uiPriority w:val="35"/>
    <w:unhideWhenUsed/>
    <w:qFormat/>
    <w:rsid w:val="00FF0345"/>
    <w:pPr>
      <w:spacing w:line="240" w:lineRule="auto"/>
    </w:pPr>
    <w:rPr>
      <w:b/>
      <w:bCs/>
      <w:smallCaps/>
      <w:color w:val="323232" w:themeColor="text2"/>
    </w:rPr>
  </w:style>
  <w:style w:type="paragraph" w:styleId="ListBullet">
    <w:name w:val="List Bullet"/>
    <w:aliases w:val="List Bullet table,List Bullet Char Char Char Char,List Bullet Char Char Char Char Char Char Char Char Char Char Char Char,List Bullet Char Char Char Char Char Char Char Char Char Char,List Bullet Char Char Char Char Char"/>
    <w:basedOn w:val="Normal"/>
    <w:uiPriority w:val="99"/>
    <w:rsid w:val="008575B3"/>
    <w:pPr>
      <w:numPr>
        <w:numId w:val="1"/>
      </w:numPr>
      <w:spacing w:after="140" w:line="280" w:lineRule="atLeast"/>
      <w:contextualSpacing/>
    </w:pPr>
  </w:style>
  <w:style w:type="paragraph" w:styleId="ListNumber">
    <w:name w:val="List Number"/>
    <w:basedOn w:val="Normal"/>
    <w:rsid w:val="006F37FC"/>
    <w:pPr>
      <w:numPr>
        <w:numId w:val="2"/>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link w:val="ftrefChar1"/>
    <w:unhideWhenUsed/>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uiPriority w:val="99"/>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3"/>
      </w:numPr>
    </w:pPr>
    <w:rPr>
      <w:color w:val="0F204B"/>
    </w:rPr>
  </w:style>
  <w:style w:type="character" w:customStyle="1" w:styleId="DNVGL-AppListingChar">
    <w:name w:val="DNVGL-App Listing Char"/>
    <w:basedOn w:val="DefaultParagraphFont"/>
    <w:link w:val="DNVGL-AppListing"/>
    <w:uiPriority w:val="99"/>
    <w:rsid w:val="00866BDC"/>
    <w:rPr>
      <w:color w:val="0F204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F07F09" w:themeColor="accent1" w:frame="1"/>
        <w:left w:val="single" w:sz="2" w:space="10" w:color="F07F09" w:themeColor="accent1" w:frame="1"/>
        <w:bottom w:val="single" w:sz="2" w:space="10" w:color="F07F09" w:themeColor="accent1" w:frame="1"/>
        <w:right w:val="single" w:sz="2" w:space="10" w:color="F07F09" w:themeColor="accent1" w:frame="1"/>
      </w:pBdr>
      <w:ind w:left="1152" w:right="1152"/>
    </w:pPr>
    <w:rPr>
      <w:i/>
      <w:iCs/>
      <w:color w:val="F07F09"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33"/>
    <w:qFormat/>
    <w:rsid w:val="00FF0345"/>
    <w:rPr>
      <w:b/>
      <w:bCs/>
      <w:smallCaps/>
      <w:spacing w:val="10"/>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20"/>
    <w:qFormat/>
    <w:rsid w:val="00FF0345"/>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B26B02"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6B9F25"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21"/>
    <w:qFormat/>
    <w:rsid w:val="00FF0345"/>
    <w:rPr>
      <w:b/>
      <w:bCs/>
      <w:i/>
      <w:iCs/>
    </w:rPr>
  </w:style>
  <w:style w:type="paragraph" w:styleId="IntenseQuote">
    <w:name w:val="Intense Quote"/>
    <w:basedOn w:val="Normal"/>
    <w:next w:val="Normal"/>
    <w:link w:val="IntenseQuoteChar"/>
    <w:uiPriority w:val="30"/>
    <w:qFormat/>
    <w:rsid w:val="00FF0345"/>
    <w:pPr>
      <w:spacing w:before="100" w:beforeAutospacing="1" w:after="240" w:line="240" w:lineRule="auto"/>
      <w:ind w:left="720"/>
      <w:jc w:val="center"/>
    </w:pPr>
    <w:rPr>
      <w:rFonts w:asciiTheme="majorHAnsi" w:eastAsiaTheme="majorEastAsia" w:hAnsiTheme="majorHAnsi" w:cstheme="majorBidi"/>
      <w:color w:val="323232" w:themeColor="text2"/>
      <w:spacing w:val="-6"/>
      <w:sz w:val="32"/>
      <w:szCs w:val="32"/>
    </w:rPr>
  </w:style>
  <w:style w:type="character" w:customStyle="1" w:styleId="IntenseQuoteChar">
    <w:name w:val="Intense Quote Char"/>
    <w:basedOn w:val="DefaultParagraphFont"/>
    <w:link w:val="IntenseQuote"/>
    <w:uiPriority w:val="30"/>
    <w:rsid w:val="00FF0345"/>
    <w:rPr>
      <w:rFonts w:asciiTheme="majorHAnsi" w:eastAsiaTheme="majorEastAsia" w:hAnsiTheme="majorHAnsi" w:cstheme="majorBidi"/>
      <w:color w:val="323232" w:themeColor="text2"/>
      <w:spacing w:val="-6"/>
      <w:sz w:val="32"/>
      <w:szCs w:val="32"/>
    </w:rPr>
  </w:style>
  <w:style w:type="character" w:styleId="IntenseReference">
    <w:name w:val="Intense Reference"/>
    <w:basedOn w:val="DefaultParagraphFont"/>
    <w:uiPriority w:val="32"/>
    <w:qFormat/>
    <w:rsid w:val="00FF0345"/>
    <w:rPr>
      <w:b/>
      <w:bCs/>
      <w:smallCaps/>
      <w:color w:val="323232" w:themeColor="text2"/>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aliases w:val="List Bullet a"/>
    <w:basedOn w:val="Normal"/>
    <w:uiPriority w:val="99"/>
    <w:unhideWhenUsed/>
    <w:rsid w:val="00540A26"/>
    <w:pPr>
      <w:numPr>
        <w:numId w:val="4"/>
      </w:numPr>
      <w:spacing w:after="140" w:line="280" w:lineRule="atLeast"/>
      <w:ind w:left="648"/>
      <w:contextualSpacing/>
    </w:pPr>
  </w:style>
  <w:style w:type="paragraph" w:styleId="ListBullet3">
    <w:name w:val="List Bullet 3"/>
    <w:basedOn w:val="Normal"/>
    <w:uiPriority w:val="99"/>
    <w:unhideWhenUsed/>
    <w:rsid w:val="00EA3B42"/>
    <w:pPr>
      <w:numPr>
        <w:numId w:val="5"/>
      </w:numPr>
      <w:spacing w:after="140" w:line="280" w:lineRule="atLeast"/>
      <w:ind w:left="922"/>
      <w:contextualSpacing/>
    </w:pPr>
  </w:style>
  <w:style w:type="paragraph" w:styleId="ListBullet4">
    <w:name w:val="List Bullet 4"/>
    <w:basedOn w:val="Normal"/>
    <w:uiPriority w:val="99"/>
    <w:unhideWhenUsed/>
    <w:rsid w:val="00EA3B42"/>
    <w:pPr>
      <w:numPr>
        <w:numId w:val="6"/>
      </w:numPr>
      <w:spacing w:after="140" w:line="280" w:lineRule="atLeast"/>
      <w:ind w:left="1210"/>
      <w:contextualSpacing/>
    </w:pPr>
  </w:style>
  <w:style w:type="paragraph" w:styleId="ListBullet5">
    <w:name w:val="List Bullet 5"/>
    <w:basedOn w:val="Normal"/>
    <w:uiPriority w:val="99"/>
    <w:unhideWhenUsed/>
    <w:rsid w:val="00EA3B42"/>
    <w:pPr>
      <w:numPr>
        <w:numId w:val="7"/>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8"/>
      </w:numPr>
      <w:spacing w:after="140" w:line="280" w:lineRule="atLeast"/>
      <w:ind w:left="648"/>
      <w:contextualSpacing/>
    </w:pPr>
  </w:style>
  <w:style w:type="paragraph" w:styleId="ListNumber3">
    <w:name w:val="List Number 3"/>
    <w:basedOn w:val="Normal"/>
    <w:uiPriority w:val="99"/>
    <w:semiHidden/>
    <w:unhideWhenUsed/>
    <w:rsid w:val="00EA3B42"/>
    <w:pPr>
      <w:numPr>
        <w:numId w:val="9"/>
      </w:numPr>
      <w:spacing w:after="140" w:line="280" w:lineRule="atLeast"/>
      <w:ind w:left="922"/>
      <w:contextualSpacing/>
    </w:pPr>
  </w:style>
  <w:style w:type="paragraph" w:styleId="ListNumber4">
    <w:name w:val="List Number 4"/>
    <w:basedOn w:val="Normal"/>
    <w:uiPriority w:val="99"/>
    <w:semiHidden/>
    <w:unhideWhenUsed/>
    <w:rsid w:val="00EA3B42"/>
    <w:pPr>
      <w:numPr>
        <w:numId w:val="10"/>
      </w:numPr>
      <w:spacing w:after="140" w:line="280" w:lineRule="atLeast"/>
      <w:ind w:left="1210"/>
      <w:contextualSpacing/>
    </w:pPr>
  </w:style>
  <w:style w:type="paragraph" w:styleId="ListNumber5">
    <w:name w:val="List Number 5"/>
    <w:basedOn w:val="Normal"/>
    <w:uiPriority w:val="99"/>
    <w:semiHidden/>
    <w:unhideWhenUsed/>
    <w:rsid w:val="00EA3B42"/>
    <w:pPr>
      <w:numPr>
        <w:numId w:val="11"/>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FF0345"/>
    <w:pPr>
      <w:spacing w:after="0" w:line="240" w:lineRule="auto"/>
    </w:pPr>
  </w:style>
  <w:style w:type="paragraph" w:styleId="NormalWeb">
    <w:name w:val="Normal (Web)"/>
    <w:aliases w:val="Normal (Web) Char"/>
    <w:basedOn w:val="Normal"/>
    <w:link w:val="NormalWebChar1"/>
    <w:uiPriority w:val="99"/>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29"/>
    <w:qFormat/>
    <w:rsid w:val="00FF0345"/>
    <w:pPr>
      <w:spacing w:before="120" w:after="120"/>
      <w:ind w:left="720"/>
    </w:pPr>
    <w:rPr>
      <w:color w:val="323232" w:themeColor="text2"/>
      <w:sz w:val="24"/>
      <w:szCs w:val="24"/>
    </w:rPr>
  </w:style>
  <w:style w:type="character" w:customStyle="1" w:styleId="QuoteChar">
    <w:name w:val="Quote Char"/>
    <w:basedOn w:val="DefaultParagraphFont"/>
    <w:link w:val="Quote"/>
    <w:uiPriority w:val="29"/>
    <w:rsid w:val="00FF0345"/>
    <w:rPr>
      <w:color w:val="323232" w:themeColor="text2"/>
      <w:sz w:val="24"/>
      <w:szCs w:val="24"/>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22"/>
    <w:qFormat/>
    <w:rsid w:val="00FF0345"/>
    <w:rPr>
      <w:b/>
      <w:bCs/>
    </w:rPr>
  </w:style>
  <w:style w:type="paragraph" w:styleId="Subtitle">
    <w:name w:val="Subtitle"/>
    <w:basedOn w:val="Normal"/>
    <w:next w:val="Normal"/>
    <w:link w:val="SubtitleChar"/>
    <w:uiPriority w:val="11"/>
    <w:qFormat/>
    <w:rsid w:val="00FF0345"/>
    <w:pPr>
      <w:numPr>
        <w:ilvl w:val="1"/>
      </w:numPr>
      <w:spacing w:after="240" w:line="240" w:lineRule="auto"/>
    </w:pPr>
    <w:rPr>
      <w:rFonts w:asciiTheme="majorHAnsi" w:eastAsiaTheme="majorEastAsia" w:hAnsiTheme="majorHAnsi" w:cstheme="majorBidi"/>
      <w:color w:val="F07F09" w:themeColor="accent1"/>
      <w:sz w:val="28"/>
      <w:szCs w:val="28"/>
    </w:rPr>
  </w:style>
  <w:style w:type="character" w:customStyle="1" w:styleId="SubtitleChar">
    <w:name w:val="Subtitle Char"/>
    <w:basedOn w:val="DefaultParagraphFont"/>
    <w:link w:val="Subtitle"/>
    <w:uiPriority w:val="11"/>
    <w:rsid w:val="00FF0345"/>
    <w:rPr>
      <w:rFonts w:asciiTheme="majorHAnsi" w:eastAsiaTheme="majorEastAsia" w:hAnsiTheme="majorHAnsi" w:cstheme="majorBidi"/>
      <w:color w:val="F07F09" w:themeColor="accent1"/>
      <w:sz w:val="28"/>
      <w:szCs w:val="28"/>
    </w:rPr>
  </w:style>
  <w:style w:type="character" w:styleId="SubtleEmphasis">
    <w:name w:val="Subtle Emphasis"/>
    <w:basedOn w:val="DefaultParagraphFont"/>
    <w:uiPriority w:val="19"/>
    <w:qFormat/>
    <w:rsid w:val="00FF0345"/>
    <w:rPr>
      <w:i/>
      <w:iCs/>
      <w:color w:val="595959" w:themeColor="text1" w:themeTint="A6"/>
    </w:rPr>
  </w:style>
  <w:style w:type="character" w:styleId="SubtleReference">
    <w:name w:val="Subtle Reference"/>
    <w:basedOn w:val="DefaultParagraphFont"/>
    <w:uiPriority w:val="31"/>
    <w:qFormat/>
    <w:rsid w:val="00FF0345"/>
    <w:rPr>
      <w:smallCaps/>
      <w:color w:val="595959" w:themeColor="text1" w:themeTint="A6"/>
      <w:u w:val="none" w:color="7F7F7F" w:themeColor="text1" w:themeTint="80"/>
      <w:bdr w:val="none" w:sz="0" w:space="0" w:color="auto"/>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10"/>
    <w:qFormat/>
    <w:rsid w:val="00FF0345"/>
    <w:pPr>
      <w:spacing w:after="0" w:line="204" w:lineRule="auto"/>
      <w:contextualSpacing/>
    </w:pPr>
    <w:rPr>
      <w:rFonts w:asciiTheme="majorHAnsi" w:eastAsiaTheme="majorEastAsia" w:hAnsiTheme="majorHAnsi" w:cstheme="majorBidi"/>
      <w:caps/>
      <w:color w:val="323232" w:themeColor="text2"/>
      <w:spacing w:val="-15"/>
      <w:sz w:val="72"/>
      <w:szCs w:val="72"/>
    </w:rPr>
  </w:style>
  <w:style w:type="character" w:customStyle="1" w:styleId="TitleChar">
    <w:name w:val="Title Char"/>
    <w:basedOn w:val="DefaultParagraphFont"/>
    <w:link w:val="Title"/>
    <w:uiPriority w:val="10"/>
    <w:rsid w:val="00FF0345"/>
    <w:rPr>
      <w:rFonts w:asciiTheme="majorHAnsi" w:eastAsiaTheme="majorEastAsia" w:hAnsiTheme="majorHAnsi" w:cstheme="majorBidi"/>
      <w:caps/>
      <w:color w:val="323232" w:themeColor="text2"/>
      <w:spacing w:val="-15"/>
      <w:sz w:val="72"/>
      <w:szCs w:val="72"/>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39"/>
    <w:unhideWhenUsed/>
    <w:rsid w:val="00866BDC"/>
    <w:pPr>
      <w:spacing w:after="100"/>
      <w:ind w:left="1440"/>
    </w:pPr>
  </w:style>
  <w:style w:type="paragraph" w:styleId="TOCHeading">
    <w:name w:val="TOC Heading"/>
    <w:basedOn w:val="Heading1"/>
    <w:next w:val="Normal"/>
    <w:uiPriority w:val="39"/>
    <w:unhideWhenUsed/>
    <w:qFormat/>
    <w:rsid w:val="00FF0345"/>
    <w:pPr>
      <w:outlineLvl w:val="9"/>
    </w:pPr>
  </w:style>
  <w:style w:type="table" w:styleId="TableGrid">
    <w:name w:val="Table Grid"/>
    <w:basedOn w:val="TableNormal"/>
    <w:uiPriority w:val="99"/>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2"/>
      </w:numPr>
    </w:pPr>
  </w:style>
  <w:style w:type="numbering" w:styleId="111111">
    <w:name w:val="Outline List 2"/>
    <w:basedOn w:val="NoList"/>
    <w:uiPriority w:val="99"/>
    <w:semiHidden/>
    <w:unhideWhenUsed/>
    <w:rsid w:val="008723DE"/>
    <w:pPr>
      <w:numPr>
        <w:numId w:val="13"/>
      </w:numPr>
    </w:pPr>
  </w:style>
  <w:style w:type="numbering" w:styleId="1ai">
    <w:name w:val="Outline List 1"/>
    <w:basedOn w:val="NoList"/>
    <w:uiPriority w:val="99"/>
    <w:semiHidden/>
    <w:unhideWhenUsed/>
    <w:rsid w:val="008723DE"/>
    <w:pPr>
      <w:numPr>
        <w:numId w:val="14"/>
      </w:numPr>
    </w:pPr>
  </w:style>
  <w:style w:type="numbering" w:styleId="ArticleSection">
    <w:name w:val="Outline List 3"/>
    <w:basedOn w:val="NoList"/>
    <w:uiPriority w:val="99"/>
    <w:semiHidden/>
    <w:unhideWhenUsed/>
    <w:rsid w:val="008723DE"/>
    <w:pPr>
      <w:numPr>
        <w:numId w:val="15"/>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5CC" w:themeFill="accent1" w:themeFillTint="33"/>
    </w:tcPr>
    <w:tblStylePr w:type="firstRow">
      <w:rPr>
        <w:b/>
        <w:bCs/>
      </w:rPr>
      <w:tblPr/>
      <w:trPr>
        <w:hidden/>
      </w:trPr>
      <w:tcPr>
        <w:shd w:val="clear" w:color="auto" w:fill="FBCB9A" w:themeFill="accent1" w:themeFillTint="66"/>
      </w:tcPr>
    </w:tblStylePr>
    <w:tblStylePr w:type="lastRow">
      <w:rPr>
        <w:b/>
        <w:bCs/>
        <w:color w:val="000000" w:themeColor="text1"/>
      </w:rPr>
      <w:tblPr/>
      <w:trPr>
        <w:hidden/>
      </w:trPr>
      <w:tcPr>
        <w:shd w:val="clear" w:color="auto" w:fill="FBCB9A" w:themeFill="accent1" w:themeFillTint="66"/>
      </w:tcPr>
    </w:tblStylePr>
    <w:tblStylePr w:type="firstCol">
      <w:rPr>
        <w:color w:val="FFFFFF" w:themeColor="background1"/>
      </w:rPr>
      <w:tblPr/>
      <w:trPr>
        <w:hidden/>
      </w:trPr>
      <w:tcPr>
        <w:shd w:val="clear" w:color="auto" w:fill="B35E06" w:themeFill="accent1" w:themeFillShade="BF"/>
      </w:tcPr>
    </w:tblStylePr>
    <w:tblStylePr w:type="lastCol">
      <w:rPr>
        <w:color w:val="FFFFFF" w:themeColor="background1"/>
      </w:rPr>
      <w:tblPr/>
      <w:trPr>
        <w:hidden/>
      </w:trPr>
      <w:tcPr>
        <w:shd w:val="clear" w:color="auto" w:fill="B35E06" w:themeFill="accent1" w:themeFillShade="BF"/>
      </w:tcPr>
    </w:tblStylePr>
    <w:tblStylePr w:type="band1Vert">
      <w:tblPr/>
      <w:trPr>
        <w:hidden/>
      </w:trPr>
      <w:tcPr>
        <w:shd w:val="clear" w:color="auto" w:fill="FABF81" w:themeFill="accent1" w:themeFillTint="7F"/>
      </w:tcPr>
    </w:tblStylePr>
    <w:tblStylePr w:type="band1Horz">
      <w:tblPr/>
      <w:trPr>
        <w:hidden/>
      </w:trPr>
      <w:tcPr>
        <w:shd w:val="clear" w:color="auto" w:fill="FABF81"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CDD1" w:themeFill="accent2" w:themeFillTint="33"/>
    </w:tcPr>
    <w:tblStylePr w:type="firstRow">
      <w:rPr>
        <w:b/>
        <w:bCs/>
      </w:rPr>
      <w:tblPr/>
      <w:trPr>
        <w:hidden/>
      </w:trPr>
      <w:tcPr>
        <w:shd w:val="clear" w:color="auto" w:fill="E59CA4" w:themeFill="accent2" w:themeFillTint="66"/>
      </w:tcPr>
    </w:tblStylePr>
    <w:tblStylePr w:type="lastRow">
      <w:rPr>
        <w:b/>
        <w:bCs/>
        <w:color w:val="000000" w:themeColor="text1"/>
      </w:rPr>
      <w:tblPr/>
      <w:trPr>
        <w:hidden/>
      </w:trPr>
      <w:tcPr>
        <w:shd w:val="clear" w:color="auto" w:fill="E59CA4" w:themeFill="accent2" w:themeFillTint="66"/>
      </w:tcPr>
    </w:tblStylePr>
    <w:tblStylePr w:type="firstCol">
      <w:rPr>
        <w:color w:val="FFFFFF" w:themeColor="background1"/>
      </w:rPr>
      <w:tblPr/>
      <w:trPr>
        <w:hidden/>
      </w:trPr>
      <w:tcPr>
        <w:shd w:val="clear" w:color="auto" w:fill="761E28" w:themeFill="accent2" w:themeFillShade="BF"/>
      </w:tcPr>
    </w:tblStylePr>
    <w:tblStylePr w:type="lastCol">
      <w:rPr>
        <w:color w:val="FFFFFF" w:themeColor="background1"/>
      </w:rPr>
      <w:tblPr/>
      <w:trPr>
        <w:hidden/>
      </w:trPr>
      <w:tcPr>
        <w:shd w:val="clear" w:color="auto" w:fill="761E28" w:themeFill="accent2" w:themeFillShade="BF"/>
      </w:tcPr>
    </w:tblStylePr>
    <w:tblStylePr w:type="band1Vert">
      <w:tblPr/>
      <w:trPr>
        <w:hidden/>
      </w:trPr>
      <w:tcPr>
        <w:shd w:val="clear" w:color="auto" w:fill="DF848E" w:themeFill="accent2" w:themeFillTint="7F"/>
      </w:tcPr>
    </w:tblStylePr>
    <w:tblStylePr w:type="band1Horz">
      <w:tblPr/>
      <w:trPr>
        <w:hidden/>
      </w:trPr>
      <w:tcPr>
        <w:shd w:val="clear" w:color="auto" w:fill="DF848E"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3E0F2" w:themeFill="accent3" w:themeFillTint="33"/>
    </w:tcPr>
    <w:tblStylePr w:type="firstRow">
      <w:rPr>
        <w:b/>
        <w:bCs/>
      </w:rPr>
      <w:tblPr/>
      <w:trPr>
        <w:hidden/>
      </w:trPr>
      <w:tcPr>
        <w:shd w:val="clear" w:color="auto" w:fill="89C2E5" w:themeFill="accent3" w:themeFillTint="66"/>
      </w:tcPr>
    </w:tblStylePr>
    <w:tblStylePr w:type="lastRow">
      <w:rPr>
        <w:b/>
        <w:bCs/>
        <w:color w:val="000000" w:themeColor="text1"/>
      </w:rPr>
      <w:tblPr/>
      <w:trPr>
        <w:hidden/>
      </w:trPr>
      <w:tcPr>
        <w:shd w:val="clear" w:color="auto" w:fill="89C2E5" w:themeFill="accent3" w:themeFillTint="66"/>
      </w:tcPr>
    </w:tblStylePr>
    <w:tblStylePr w:type="firstCol">
      <w:rPr>
        <w:color w:val="FFFFFF" w:themeColor="background1"/>
      </w:rPr>
      <w:tblPr/>
      <w:trPr>
        <w:hidden/>
      </w:trPr>
      <w:tcPr>
        <w:shd w:val="clear" w:color="auto" w:fill="14415C" w:themeFill="accent3" w:themeFillShade="BF"/>
      </w:tcPr>
    </w:tblStylePr>
    <w:tblStylePr w:type="lastCol">
      <w:rPr>
        <w:color w:val="FFFFFF" w:themeColor="background1"/>
      </w:rPr>
      <w:tblPr/>
      <w:trPr>
        <w:hidden/>
      </w:trPr>
      <w:tcPr>
        <w:shd w:val="clear" w:color="auto" w:fill="14415C" w:themeFill="accent3" w:themeFillShade="BF"/>
      </w:tcPr>
    </w:tblStylePr>
    <w:tblStylePr w:type="band1Vert">
      <w:tblPr/>
      <w:trPr>
        <w:hidden/>
      </w:trPr>
      <w:tcPr>
        <w:shd w:val="clear" w:color="auto" w:fill="6CB4DF" w:themeFill="accent3" w:themeFillTint="7F"/>
      </w:tcPr>
    </w:tblStylePr>
    <w:tblStylePr w:type="band1Horz">
      <w:tblPr/>
      <w:trPr>
        <w:hidden/>
      </w:trPr>
      <w:tcPr>
        <w:shd w:val="clear" w:color="auto" w:fill="6CB4DF"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9EAD5" w:themeFill="accent4" w:themeFillTint="33"/>
    </w:tcPr>
    <w:tblStylePr w:type="firstRow">
      <w:rPr>
        <w:b/>
        <w:bCs/>
      </w:rPr>
      <w:tblPr/>
      <w:trPr>
        <w:hidden/>
      </w:trPr>
      <w:tcPr>
        <w:shd w:val="clear" w:color="auto" w:fill="B3D5AB" w:themeFill="accent4" w:themeFillTint="66"/>
      </w:tcPr>
    </w:tblStylePr>
    <w:tblStylePr w:type="lastRow">
      <w:rPr>
        <w:b/>
        <w:bCs/>
        <w:color w:val="000000" w:themeColor="text1"/>
      </w:rPr>
      <w:tblPr/>
      <w:trPr>
        <w:hidden/>
      </w:trPr>
      <w:tcPr>
        <w:shd w:val="clear" w:color="auto" w:fill="B3D5AB" w:themeFill="accent4" w:themeFillTint="66"/>
      </w:tcPr>
    </w:tblStylePr>
    <w:tblStylePr w:type="firstCol">
      <w:rPr>
        <w:color w:val="FFFFFF" w:themeColor="background1"/>
      </w:rPr>
      <w:tblPr/>
      <w:trPr>
        <w:hidden/>
      </w:trPr>
      <w:tcPr>
        <w:shd w:val="clear" w:color="auto" w:fill="3A6331" w:themeFill="accent4" w:themeFillShade="BF"/>
      </w:tcPr>
    </w:tblStylePr>
    <w:tblStylePr w:type="lastCol">
      <w:rPr>
        <w:color w:val="FFFFFF" w:themeColor="background1"/>
      </w:rPr>
      <w:tblPr/>
      <w:trPr>
        <w:hidden/>
      </w:trPr>
      <w:tcPr>
        <w:shd w:val="clear" w:color="auto" w:fill="3A6331" w:themeFill="accent4" w:themeFillShade="BF"/>
      </w:tcPr>
    </w:tblStylePr>
    <w:tblStylePr w:type="band1Vert">
      <w:tblPr/>
      <w:trPr>
        <w:hidden/>
      </w:trPr>
      <w:tcPr>
        <w:shd w:val="clear" w:color="auto" w:fill="A0CB97" w:themeFill="accent4" w:themeFillTint="7F"/>
      </w:tcPr>
    </w:tblStylePr>
    <w:tblStylePr w:type="band1Horz">
      <w:tblPr/>
      <w:trPr>
        <w:hidden/>
      </w:trPr>
      <w:tcPr>
        <w:shd w:val="clear" w:color="auto" w:fill="A0CB97"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FD7E7" w:themeFill="accent5" w:themeFillTint="33"/>
    </w:tcPr>
    <w:tblStylePr w:type="firstRow">
      <w:rPr>
        <w:b/>
        <w:bCs/>
      </w:rPr>
      <w:tblPr/>
      <w:trPr>
        <w:hidden/>
      </w:trPr>
      <w:tcPr>
        <w:shd w:val="clear" w:color="auto" w:fill="BFAFCF" w:themeFill="accent5" w:themeFillTint="66"/>
      </w:tcPr>
    </w:tblStylePr>
    <w:tblStylePr w:type="lastRow">
      <w:rPr>
        <w:b/>
        <w:bCs/>
        <w:color w:val="000000" w:themeColor="text1"/>
      </w:rPr>
      <w:tblPr/>
      <w:trPr>
        <w:hidden/>
      </w:trPr>
      <w:tcPr>
        <w:shd w:val="clear" w:color="auto" w:fill="BFAFCF" w:themeFill="accent5" w:themeFillTint="66"/>
      </w:tcPr>
    </w:tblStylePr>
    <w:tblStylePr w:type="firstCol">
      <w:rPr>
        <w:color w:val="FFFFFF" w:themeColor="background1"/>
      </w:rPr>
      <w:tblPr/>
      <w:trPr>
        <w:hidden/>
      </w:trPr>
      <w:tcPr>
        <w:shd w:val="clear" w:color="auto" w:fill="473659" w:themeFill="accent5" w:themeFillShade="BF"/>
      </w:tcPr>
    </w:tblStylePr>
    <w:tblStylePr w:type="lastCol">
      <w:rPr>
        <w:color w:val="FFFFFF" w:themeColor="background1"/>
      </w:rPr>
      <w:tblPr/>
      <w:trPr>
        <w:hidden/>
      </w:trPr>
      <w:tcPr>
        <w:shd w:val="clear" w:color="auto" w:fill="473659" w:themeFill="accent5" w:themeFillShade="BF"/>
      </w:tcPr>
    </w:tblStylePr>
    <w:tblStylePr w:type="band1Vert">
      <w:tblPr/>
      <w:trPr>
        <w:hidden/>
      </w:trPr>
      <w:tcPr>
        <w:shd w:val="clear" w:color="auto" w:fill="AF9BC3" w:themeFill="accent5" w:themeFillTint="7F"/>
      </w:tcPr>
    </w:tblStylePr>
    <w:tblStylePr w:type="band1Horz">
      <w:tblPr/>
      <w:trPr>
        <w:hidden/>
      </w:trPr>
      <w:tcPr>
        <w:shd w:val="clear" w:color="auto" w:fill="AF9BC3"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EADD" w:themeFill="accent6" w:themeFillTint="33"/>
    </w:tcPr>
    <w:tblStylePr w:type="firstRow">
      <w:rPr>
        <w:b/>
        <w:bCs/>
      </w:rPr>
      <w:tblPr/>
      <w:trPr>
        <w:hidden/>
      </w:trPr>
      <w:tcPr>
        <w:shd w:val="clear" w:color="auto" w:fill="E6D5BC" w:themeFill="accent6" w:themeFillTint="66"/>
      </w:tcPr>
    </w:tblStylePr>
    <w:tblStylePr w:type="lastRow">
      <w:rPr>
        <w:b/>
        <w:bCs/>
        <w:color w:val="000000" w:themeColor="text1"/>
      </w:rPr>
      <w:tblPr/>
      <w:trPr>
        <w:hidden/>
      </w:trPr>
      <w:tcPr>
        <w:shd w:val="clear" w:color="auto" w:fill="E6D5BC" w:themeFill="accent6" w:themeFillTint="66"/>
      </w:tcPr>
    </w:tblStylePr>
    <w:tblStylePr w:type="firstCol">
      <w:rPr>
        <w:color w:val="FFFFFF" w:themeColor="background1"/>
      </w:rPr>
      <w:tblPr/>
      <w:trPr>
        <w:hidden/>
      </w:trPr>
      <w:tcPr>
        <w:shd w:val="clear" w:color="auto" w:fill="997339" w:themeFill="accent6" w:themeFillShade="BF"/>
      </w:tcPr>
    </w:tblStylePr>
    <w:tblStylePr w:type="lastCol">
      <w:rPr>
        <w:color w:val="FFFFFF" w:themeColor="background1"/>
      </w:rPr>
      <w:tblPr/>
      <w:trPr>
        <w:hidden/>
      </w:trPr>
      <w:tcPr>
        <w:shd w:val="clear" w:color="auto" w:fill="997339" w:themeFill="accent6" w:themeFillShade="BF"/>
      </w:tcPr>
    </w:tblStylePr>
    <w:tblStylePr w:type="band1Vert">
      <w:tblPr/>
      <w:trPr>
        <w:hidden/>
      </w:trPr>
      <w:tcPr>
        <w:shd w:val="clear" w:color="auto" w:fill="E0CBAC" w:themeFill="accent6" w:themeFillTint="7F"/>
      </w:tcPr>
    </w:tblStylePr>
    <w:tblStylePr w:type="band1Horz">
      <w:tblPr/>
      <w:trPr>
        <w:hidden/>
      </w:trPr>
      <w:tcPr>
        <w:shd w:val="clear" w:color="auto" w:fill="E0CBAC"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7F212B" w:themeFill="accent2" w:themeFillShade="CC"/>
      </w:tcPr>
    </w:tblStylePr>
    <w:tblStylePr w:type="lastRow">
      <w:rPr>
        <w:b/>
        <w:bCs/>
        <w:color w:val="7F212B"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2E6"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7F212B" w:themeFill="accent2" w:themeFillShade="CC"/>
      </w:tcPr>
    </w:tblStylePr>
    <w:tblStylePr w:type="lastRow">
      <w:rPr>
        <w:b/>
        <w:bCs/>
        <w:color w:val="7F212B"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CDFC0" w:themeFill="accent1" w:themeFillTint="3F"/>
      </w:tcPr>
    </w:tblStylePr>
    <w:tblStylePr w:type="band1Horz">
      <w:tblPr/>
      <w:trPr>
        <w:hidden/>
      </w:trPr>
      <w:tcPr>
        <w:shd w:val="clear" w:color="auto" w:fill="FDE5CC"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6E8"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7F212B" w:themeFill="accent2" w:themeFillShade="CC"/>
      </w:tcPr>
    </w:tblStylePr>
    <w:tblStylePr w:type="lastRow">
      <w:rPr>
        <w:b/>
        <w:bCs/>
        <w:color w:val="7F212B"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C2C6" w:themeFill="accent2" w:themeFillTint="3F"/>
      </w:tcPr>
    </w:tblStylePr>
    <w:tblStylePr w:type="band1Horz">
      <w:tblPr/>
      <w:trPr>
        <w:hidden/>
      </w:trPr>
      <w:tcPr>
        <w:shd w:val="clear" w:color="auto" w:fill="F2CDD1"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1F0F8"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3E6A34" w:themeFill="accent4" w:themeFillShade="CC"/>
      </w:tcPr>
    </w:tblStylePr>
    <w:tblStylePr w:type="lastRow">
      <w:rPr>
        <w:b/>
        <w:bCs/>
        <w:color w:val="3E6A34"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B5D9EF" w:themeFill="accent3" w:themeFillTint="3F"/>
      </w:tcPr>
    </w:tblStylePr>
    <w:tblStylePr w:type="band1Horz">
      <w:tblPr/>
      <w:trPr>
        <w:hidden/>
      </w:trPr>
      <w:tcPr>
        <w:shd w:val="clear" w:color="auto" w:fill="C3E0F2"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CF4EA"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154663" w:themeFill="accent3" w:themeFillShade="CC"/>
      </w:tcPr>
    </w:tblStylePr>
    <w:tblStylePr w:type="lastRow">
      <w:rPr>
        <w:b/>
        <w:bCs/>
        <w:color w:val="154663"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0E5CB" w:themeFill="accent4" w:themeFillTint="3F"/>
      </w:tcPr>
    </w:tblStylePr>
    <w:tblStylePr w:type="band1Horz">
      <w:tblPr/>
      <w:trPr>
        <w:hidden/>
      </w:trPr>
      <w:tcPr>
        <w:shd w:val="clear" w:color="auto" w:fill="D9EAD5"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FEBF3"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A37B3D" w:themeFill="accent6" w:themeFillShade="CC"/>
      </w:tcPr>
    </w:tblStylePr>
    <w:tblStylePr w:type="lastRow">
      <w:rPr>
        <w:b/>
        <w:bCs/>
        <w:color w:val="A37B3D"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7CDE1" w:themeFill="accent5" w:themeFillTint="3F"/>
      </w:tcPr>
    </w:tblStylePr>
    <w:tblStylePr w:type="band1Horz">
      <w:tblPr/>
      <w:trPr>
        <w:hidden/>
      </w:trPr>
      <w:tcPr>
        <w:shd w:val="clear" w:color="auto" w:fill="DFD7E7"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F4EE"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4C395F" w:themeFill="accent5" w:themeFillShade="CC"/>
      </w:tcPr>
    </w:tblStylePr>
    <w:tblStylePr w:type="lastRow">
      <w:rPr>
        <w:b/>
        <w:bCs/>
        <w:color w:val="4C395F"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E5D6" w:themeFill="accent6" w:themeFillTint="3F"/>
      </w:tcPr>
    </w:tblStylePr>
    <w:tblStylePr w:type="band1Horz">
      <w:tblPr/>
      <w:trPr>
        <w:hidden/>
      </w:trPr>
      <w:tcPr>
        <w:shd w:val="clear" w:color="auto" w:fill="F2EADD"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F2936"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F2936" w:themeColor="accent2"/>
        <w:left w:val="single" w:sz="4" w:space="0" w:color="F07F09" w:themeColor="accent1"/>
        <w:bottom w:val="single" w:sz="4" w:space="0" w:color="F07F09" w:themeColor="accent1"/>
        <w:right w:val="single" w:sz="4" w:space="0" w:color="F07F09" w:themeColor="accent1"/>
        <w:insideH w:val="single" w:sz="4" w:space="0" w:color="FFFFFF" w:themeColor="background1"/>
        <w:insideV w:val="single" w:sz="4" w:space="0" w:color="FFFFFF" w:themeColor="background1"/>
      </w:tblBorders>
    </w:tblPr>
    <w:trPr>
      <w:hidden/>
    </w:trPr>
    <w:tcPr>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8F4C05" w:themeFill="accent1" w:themeFillShade="99"/>
      </w:tcPr>
    </w:tblStylePr>
    <w:tblStylePr w:type="band1Vert">
      <w:tblPr/>
      <w:trPr>
        <w:hidden/>
      </w:trPr>
      <w:tcPr>
        <w:shd w:val="clear" w:color="auto" w:fill="FBCB9A" w:themeFill="accent1" w:themeFillTint="66"/>
      </w:tcPr>
    </w:tblStylePr>
    <w:tblStylePr w:type="band1Horz">
      <w:tblPr/>
      <w:trPr>
        <w:hidden/>
      </w:trPr>
      <w:tcPr>
        <w:shd w:val="clear" w:color="auto" w:fill="FABF8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F2936" w:themeColor="accent2"/>
        <w:left w:val="single" w:sz="4" w:space="0" w:color="9F2936" w:themeColor="accent2"/>
        <w:bottom w:val="single" w:sz="4" w:space="0" w:color="9F2936" w:themeColor="accent2"/>
        <w:right w:val="single" w:sz="4" w:space="0" w:color="9F2936" w:themeColor="accent2"/>
        <w:insideH w:val="single" w:sz="4" w:space="0" w:color="FFFFFF" w:themeColor="background1"/>
        <w:insideV w:val="single" w:sz="4" w:space="0" w:color="FFFFFF" w:themeColor="background1"/>
      </w:tblBorders>
    </w:tblPr>
    <w:trPr>
      <w:hidden/>
    </w:trPr>
    <w:tcPr>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F1820" w:themeFill="accent2" w:themeFillShade="99"/>
      </w:tcPr>
    </w:tblStylePr>
    <w:tblStylePr w:type="band1Vert">
      <w:tblPr/>
      <w:trPr>
        <w:hidden/>
      </w:trPr>
      <w:tcPr>
        <w:shd w:val="clear" w:color="auto" w:fill="E59CA4" w:themeFill="accent2" w:themeFillTint="66"/>
      </w:tcPr>
    </w:tblStylePr>
    <w:tblStylePr w:type="band1Horz">
      <w:tblPr/>
      <w:trPr>
        <w:hidden/>
      </w:trPr>
      <w:tcPr>
        <w:shd w:val="clear" w:color="auto" w:fill="DF848E"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E8542" w:themeColor="accent4"/>
        <w:left w:val="single" w:sz="4" w:space="0" w:color="1B587C" w:themeColor="accent3"/>
        <w:bottom w:val="single" w:sz="4" w:space="0" w:color="1B587C" w:themeColor="accent3"/>
        <w:right w:val="single" w:sz="4" w:space="0" w:color="1B587C" w:themeColor="accent3"/>
        <w:insideH w:val="single" w:sz="4" w:space="0" w:color="FFFFFF" w:themeColor="background1"/>
        <w:insideV w:val="single" w:sz="4" w:space="0" w:color="FFFFFF" w:themeColor="background1"/>
      </w:tblBorders>
    </w:tblPr>
    <w:trPr>
      <w:hidden/>
    </w:trPr>
    <w:tcPr>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10344A" w:themeFill="accent3" w:themeFillShade="99"/>
      </w:tcPr>
    </w:tblStylePr>
    <w:tblStylePr w:type="band1Vert">
      <w:tblPr/>
      <w:trPr>
        <w:hidden/>
      </w:trPr>
      <w:tcPr>
        <w:shd w:val="clear" w:color="auto" w:fill="89C2E5" w:themeFill="accent3" w:themeFillTint="66"/>
      </w:tcPr>
    </w:tblStylePr>
    <w:tblStylePr w:type="band1Horz">
      <w:tblPr/>
      <w:trPr>
        <w:hidden/>
      </w:trPr>
      <w:tcPr>
        <w:shd w:val="clear" w:color="auto" w:fill="6CB4DF"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1B587C" w:themeColor="accent3"/>
        <w:left w:val="single" w:sz="4" w:space="0" w:color="4E8542" w:themeColor="accent4"/>
        <w:bottom w:val="single" w:sz="4" w:space="0" w:color="4E8542" w:themeColor="accent4"/>
        <w:right w:val="single" w:sz="4" w:space="0" w:color="4E8542" w:themeColor="accent4"/>
        <w:insideH w:val="single" w:sz="4" w:space="0" w:color="FFFFFF" w:themeColor="background1"/>
        <w:insideV w:val="single" w:sz="4" w:space="0" w:color="FFFFFF" w:themeColor="background1"/>
      </w:tblBorders>
    </w:tblPr>
    <w:trPr>
      <w:hidden/>
    </w:trPr>
    <w:tcPr>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E4F27" w:themeFill="accent4" w:themeFillShade="99"/>
      </w:tcPr>
    </w:tblStylePr>
    <w:tblStylePr w:type="band1Vert">
      <w:tblPr/>
      <w:trPr>
        <w:hidden/>
      </w:trPr>
      <w:tcPr>
        <w:shd w:val="clear" w:color="auto" w:fill="B3D5AB" w:themeFill="accent4" w:themeFillTint="66"/>
      </w:tcPr>
    </w:tblStylePr>
    <w:tblStylePr w:type="band1Horz">
      <w:tblPr/>
      <w:trPr>
        <w:hidden/>
      </w:trPr>
      <w:tcPr>
        <w:shd w:val="clear" w:color="auto" w:fill="A0CB97"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19859" w:themeColor="accent6"/>
        <w:left w:val="single" w:sz="4" w:space="0" w:color="604878" w:themeColor="accent5"/>
        <w:bottom w:val="single" w:sz="4" w:space="0" w:color="604878" w:themeColor="accent5"/>
        <w:right w:val="single" w:sz="4" w:space="0" w:color="604878" w:themeColor="accent5"/>
        <w:insideH w:val="single" w:sz="4" w:space="0" w:color="FFFFFF" w:themeColor="background1"/>
        <w:insideV w:val="single" w:sz="4" w:space="0" w:color="FFFFFF" w:themeColor="background1"/>
      </w:tblBorders>
    </w:tblPr>
    <w:trPr>
      <w:hidden/>
    </w:trPr>
    <w:tcPr>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392B47" w:themeFill="accent5" w:themeFillShade="99"/>
      </w:tcPr>
    </w:tblStylePr>
    <w:tblStylePr w:type="band1Vert">
      <w:tblPr/>
      <w:trPr>
        <w:hidden/>
      </w:trPr>
      <w:tcPr>
        <w:shd w:val="clear" w:color="auto" w:fill="BFAFCF" w:themeFill="accent5" w:themeFillTint="66"/>
      </w:tcPr>
    </w:tblStylePr>
    <w:tblStylePr w:type="band1Horz">
      <w:tblPr/>
      <w:trPr>
        <w:hidden/>
      </w:trPr>
      <w:tcPr>
        <w:shd w:val="clear" w:color="auto" w:fill="AF9BC3"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604878" w:themeColor="accent5"/>
        <w:left w:val="single" w:sz="4" w:space="0" w:color="C19859" w:themeColor="accent6"/>
        <w:bottom w:val="single" w:sz="4" w:space="0" w:color="C19859" w:themeColor="accent6"/>
        <w:right w:val="single" w:sz="4" w:space="0" w:color="C19859" w:themeColor="accent6"/>
        <w:insideH w:val="single" w:sz="4" w:space="0" w:color="FFFFFF" w:themeColor="background1"/>
        <w:insideV w:val="single" w:sz="4" w:space="0" w:color="FFFFFF" w:themeColor="background1"/>
      </w:tblBorders>
    </w:tblPr>
    <w:trPr>
      <w:hidden/>
    </w:trPr>
    <w:tcPr>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A5C2E" w:themeFill="accent6" w:themeFillShade="99"/>
      </w:tcPr>
    </w:tblStylePr>
    <w:tblStylePr w:type="band1Vert">
      <w:tblPr/>
      <w:trPr>
        <w:hidden/>
      </w:trPr>
      <w:tcPr>
        <w:shd w:val="clear" w:color="auto" w:fill="E6D5BC" w:themeFill="accent6" w:themeFillTint="66"/>
      </w:tcPr>
    </w:tblStylePr>
    <w:tblStylePr w:type="band1Horz">
      <w:tblPr/>
      <w:trPr>
        <w:hidden/>
      </w:trPr>
      <w:tcPr>
        <w:shd w:val="clear" w:color="auto" w:fill="E0CBA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07F09"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773F04"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B35E06"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B35E06" w:themeFill="accent1" w:themeFillShade="BF"/>
      </w:tcPr>
    </w:tblStylePr>
    <w:tblStylePr w:type="band1Vert">
      <w:tblPr/>
      <w:trPr>
        <w:hidden/>
      </w:trPr>
      <w:tcPr>
        <w:tcBorders>
          <w:top w:val="nil"/>
          <w:left w:val="nil"/>
          <w:bottom w:val="nil"/>
          <w:right w:val="nil"/>
          <w:insideH w:val="nil"/>
          <w:insideV w:val="nil"/>
        </w:tcBorders>
        <w:shd w:val="clear" w:color="auto" w:fill="B35E06" w:themeFill="accent1" w:themeFillShade="BF"/>
      </w:tcPr>
    </w:tblStylePr>
    <w:tblStylePr w:type="band1Horz">
      <w:tblPr/>
      <w:trPr>
        <w:hidden/>
      </w:trPr>
      <w:tcPr>
        <w:tcBorders>
          <w:top w:val="nil"/>
          <w:left w:val="nil"/>
          <w:bottom w:val="nil"/>
          <w:right w:val="nil"/>
          <w:insideH w:val="nil"/>
          <w:insideV w:val="nil"/>
        </w:tcBorders>
        <w:shd w:val="clear" w:color="auto" w:fill="B35E06"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F2936"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141A"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1E28"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1E28" w:themeFill="accent2" w:themeFillShade="BF"/>
      </w:tcPr>
    </w:tblStylePr>
    <w:tblStylePr w:type="band1Vert">
      <w:tblPr/>
      <w:trPr>
        <w:hidden/>
      </w:trPr>
      <w:tcPr>
        <w:tcBorders>
          <w:top w:val="nil"/>
          <w:left w:val="nil"/>
          <w:bottom w:val="nil"/>
          <w:right w:val="nil"/>
          <w:insideH w:val="nil"/>
          <w:insideV w:val="nil"/>
        </w:tcBorders>
        <w:shd w:val="clear" w:color="auto" w:fill="761E28" w:themeFill="accent2" w:themeFillShade="BF"/>
      </w:tcPr>
    </w:tblStylePr>
    <w:tblStylePr w:type="band1Horz">
      <w:tblPr/>
      <w:trPr>
        <w:hidden/>
      </w:trPr>
      <w:tcPr>
        <w:tcBorders>
          <w:top w:val="nil"/>
          <w:left w:val="nil"/>
          <w:bottom w:val="nil"/>
          <w:right w:val="nil"/>
          <w:insideH w:val="nil"/>
          <w:insideV w:val="nil"/>
        </w:tcBorders>
        <w:shd w:val="clear" w:color="auto" w:fill="761E28"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1B587C"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D2B3D"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14415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14415C" w:themeFill="accent3" w:themeFillShade="BF"/>
      </w:tcPr>
    </w:tblStylePr>
    <w:tblStylePr w:type="band1Vert">
      <w:tblPr/>
      <w:trPr>
        <w:hidden/>
      </w:trPr>
      <w:tcPr>
        <w:tcBorders>
          <w:top w:val="nil"/>
          <w:left w:val="nil"/>
          <w:bottom w:val="nil"/>
          <w:right w:val="nil"/>
          <w:insideH w:val="nil"/>
          <w:insideV w:val="nil"/>
        </w:tcBorders>
        <w:shd w:val="clear" w:color="auto" w:fill="14415C" w:themeFill="accent3" w:themeFillShade="BF"/>
      </w:tcPr>
    </w:tblStylePr>
    <w:tblStylePr w:type="band1Horz">
      <w:tblPr/>
      <w:trPr>
        <w:hidden/>
      </w:trPr>
      <w:tcPr>
        <w:tcBorders>
          <w:top w:val="nil"/>
          <w:left w:val="nil"/>
          <w:bottom w:val="nil"/>
          <w:right w:val="nil"/>
          <w:insideH w:val="nil"/>
          <w:insideV w:val="nil"/>
        </w:tcBorders>
        <w:shd w:val="clear" w:color="auto" w:fill="14415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E854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6422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A6331"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A6331" w:themeFill="accent4" w:themeFillShade="BF"/>
      </w:tcPr>
    </w:tblStylePr>
    <w:tblStylePr w:type="band1Vert">
      <w:tblPr/>
      <w:trPr>
        <w:hidden/>
      </w:trPr>
      <w:tcPr>
        <w:tcBorders>
          <w:top w:val="nil"/>
          <w:left w:val="nil"/>
          <w:bottom w:val="nil"/>
          <w:right w:val="nil"/>
          <w:insideH w:val="nil"/>
          <w:insideV w:val="nil"/>
        </w:tcBorders>
        <w:shd w:val="clear" w:color="auto" w:fill="3A6331" w:themeFill="accent4" w:themeFillShade="BF"/>
      </w:tcPr>
    </w:tblStylePr>
    <w:tblStylePr w:type="band1Horz">
      <w:tblPr/>
      <w:trPr>
        <w:hidden/>
      </w:trPr>
      <w:tcPr>
        <w:tcBorders>
          <w:top w:val="nil"/>
          <w:left w:val="nil"/>
          <w:bottom w:val="nil"/>
          <w:right w:val="nil"/>
          <w:insideH w:val="nil"/>
          <w:insideV w:val="nil"/>
        </w:tcBorders>
        <w:shd w:val="clear" w:color="auto" w:fill="3A6331"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604878"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F233B"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473659"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473659" w:themeFill="accent5" w:themeFillShade="BF"/>
      </w:tcPr>
    </w:tblStylePr>
    <w:tblStylePr w:type="band1Vert">
      <w:tblPr/>
      <w:trPr>
        <w:hidden/>
      </w:trPr>
      <w:tcPr>
        <w:tcBorders>
          <w:top w:val="nil"/>
          <w:left w:val="nil"/>
          <w:bottom w:val="nil"/>
          <w:right w:val="nil"/>
          <w:insideH w:val="nil"/>
          <w:insideV w:val="nil"/>
        </w:tcBorders>
        <w:shd w:val="clear" w:color="auto" w:fill="473659" w:themeFill="accent5" w:themeFillShade="BF"/>
      </w:tcPr>
    </w:tblStylePr>
    <w:tblStylePr w:type="band1Horz">
      <w:tblPr/>
      <w:trPr>
        <w:hidden/>
      </w:trPr>
      <w:tcPr>
        <w:tcBorders>
          <w:top w:val="nil"/>
          <w:left w:val="nil"/>
          <w:bottom w:val="nil"/>
          <w:right w:val="nil"/>
          <w:insideH w:val="nil"/>
          <w:insideV w:val="nil"/>
        </w:tcBorders>
        <w:shd w:val="clear" w:color="auto" w:fill="473659"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19859"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64C2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97339"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97339" w:themeFill="accent6" w:themeFillShade="BF"/>
      </w:tcPr>
    </w:tblStylePr>
    <w:tblStylePr w:type="band1Vert">
      <w:tblPr/>
      <w:trPr>
        <w:hidden/>
      </w:trPr>
      <w:tcPr>
        <w:tcBorders>
          <w:top w:val="nil"/>
          <w:left w:val="nil"/>
          <w:bottom w:val="nil"/>
          <w:right w:val="nil"/>
          <w:insideH w:val="nil"/>
          <w:insideV w:val="nil"/>
        </w:tcBorders>
        <w:shd w:val="clear" w:color="auto" w:fill="997339" w:themeFill="accent6" w:themeFillShade="BF"/>
      </w:tcPr>
    </w:tblStylePr>
    <w:tblStylePr w:type="band1Horz">
      <w:tblPr/>
      <w:trPr>
        <w:hidden/>
      </w:trPr>
      <w:tcPr>
        <w:tcBorders>
          <w:top w:val="nil"/>
          <w:left w:val="nil"/>
          <w:bottom w:val="nil"/>
          <w:right w:val="nil"/>
          <w:insideH w:val="nil"/>
          <w:insideV w:val="nil"/>
        </w:tcBorders>
        <w:shd w:val="clear" w:color="auto" w:fill="997339"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FBCB9A" w:themeColor="accent1" w:themeTint="66"/>
        <w:left w:val="single" w:sz="4" w:space="0" w:color="FBCB9A" w:themeColor="accent1" w:themeTint="66"/>
        <w:bottom w:val="single" w:sz="4" w:space="0" w:color="FBCB9A" w:themeColor="accent1" w:themeTint="66"/>
        <w:right w:val="single" w:sz="4" w:space="0" w:color="FBCB9A" w:themeColor="accent1" w:themeTint="66"/>
        <w:insideH w:val="single" w:sz="4" w:space="0" w:color="FBCB9A" w:themeColor="accent1" w:themeTint="66"/>
        <w:insideV w:val="single" w:sz="4" w:space="0" w:color="FBCB9A" w:themeColor="accent1" w:themeTint="66"/>
      </w:tblBorders>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9CA4" w:themeColor="accent2" w:themeTint="66"/>
        <w:left w:val="single" w:sz="4" w:space="0" w:color="E59CA4" w:themeColor="accent2" w:themeTint="66"/>
        <w:bottom w:val="single" w:sz="4" w:space="0" w:color="E59CA4" w:themeColor="accent2" w:themeTint="66"/>
        <w:right w:val="single" w:sz="4" w:space="0" w:color="E59CA4" w:themeColor="accent2" w:themeTint="66"/>
        <w:insideH w:val="single" w:sz="4" w:space="0" w:color="E59CA4" w:themeColor="accent2" w:themeTint="66"/>
        <w:insideV w:val="single" w:sz="4" w:space="0" w:color="E59CA4" w:themeColor="accent2" w:themeTint="66"/>
      </w:tblBorders>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89C2E5" w:themeColor="accent3" w:themeTint="66"/>
        <w:left w:val="single" w:sz="4" w:space="0" w:color="89C2E5" w:themeColor="accent3" w:themeTint="66"/>
        <w:bottom w:val="single" w:sz="4" w:space="0" w:color="89C2E5" w:themeColor="accent3" w:themeTint="66"/>
        <w:right w:val="single" w:sz="4" w:space="0" w:color="89C2E5" w:themeColor="accent3" w:themeTint="66"/>
        <w:insideH w:val="single" w:sz="4" w:space="0" w:color="89C2E5" w:themeColor="accent3" w:themeTint="66"/>
        <w:insideV w:val="single" w:sz="4" w:space="0" w:color="89C2E5" w:themeColor="accent3" w:themeTint="66"/>
      </w:tblBorders>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B3D5AB" w:themeColor="accent4" w:themeTint="66"/>
        <w:left w:val="single" w:sz="4" w:space="0" w:color="B3D5AB" w:themeColor="accent4" w:themeTint="66"/>
        <w:bottom w:val="single" w:sz="4" w:space="0" w:color="B3D5AB" w:themeColor="accent4" w:themeTint="66"/>
        <w:right w:val="single" w:sz="4" w:space="0" w:color="B3D5AB" w:themeColor="accent4" w:themeTint="66"/>
        <w:insideH w:val="single" w:sz="4" w:space="0" w:color="B3D5AB" w:themeColor="accent4" w:themeTint="66"/>
        <w:insideV w:val="single" w:sz="4" w:space="0" w:color="B3D5AB" w:themeColor="accent4" w:themeTint="66"/>
      </w:tblBorders>
    </w:tblPr>
    <w:trPr>
      <w:hidden/>
    </w:trPr>
    <w:tblStylePr w:type="firstRow">
      <w:rPr>
        <w:b/>
        <w:bCs/>
      </w:rPr>
      <w:tblPr/>
      <w:trPr>
        <w:hidden/>
      </w:trPr>
      <w:tcPr>
        <w:tcBorders>
          <w:bottom w:val="single" w:sz="12" w:space="0" w:color="8DC182" w:themeColor="accent4" w:themeTint="99"/>
        </w:tcBorders>
      </w:tcPr>
    </w:tblStylePr>
    <w:tblStylePr w:type="lastRow">
      <w:rPr>
        <w:b/>
        <w:bCs/>
      </w:rPr>
      <w:tblPr/>
      <w:trPr>
        <w:hidden/>
      </w:trPr>
      <w:tcPr>
        <w:tcBorders>
          <w:top w:val="double" w:sz="2" w:space="0" w:color="8DC182"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FAFCF" w:themeColor="accent5" w:themeTint="66"/>
        <w:left w:val="single" w:sz="4" w:space="0" w:color="BFAFCF" w:themeColor="accent5" w:themeTint="66"/>
        <w:bottom w:val="single" w:sz="4" w:space="0" w:color="BFAFCF" w:themeColor="accent5" w:themeTint="66"/>
        <w:right w:val="single" w:sz="4" w:space="0" w:color="BFAFCF" w:themeColor="accent5" w:themeTint="66"/>
        <w:insideH w:val="single" w:sz="4" w:space="0" w:color="BFAFCF" w:themeColor="accent5" w:themeTint="66"/>
        <w:insideV w:val="single" w:sz="4" w:space="0" w:color="BFAFCF" w:themeColor="accent5" w:themeTint="66"/>
      </w:tblBorders>
    </w:tblPr>
    <w:trPr>
      <w:hidden/>
    </w:trPr>
    <w:tblStylePr w:type="firstRow">
      <w:rPr>
        <w:b/>
        <w:bCs/>
      </w:rPr>
      <w:tblPr/>
      <w:trPr>
        <w:hidden/>
      </w:trPr>
      <w:tcPr>
        <w:tcBorders>
          <w:bottom w:val="single" w:sz="12" w:space="0" w:color="9F87B7" w:themeColor="accent5" w:themeTint="99"/>
        </w:tcBorders>
      </w:tcPr>
    </w:tblStylePr>
    <w:tblStylePr w:type="lastRow">
      <w:rPr>
        <w:b/>
        <w:bCs/>
      </w:rPr>
      <w:tblPr/>
      <w:trPr>
        <w:hidden/>
      </w:trPr>
      <w:tcPr>
        <w:tcBorders>
          <w:top w:val="double" w:sz="2" w:space="0" w:color="9F87B7"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E6D5BC" w:themeColor="accent6" w:themeTint="66"/>
        <w:left w:val="single" w:sz="4" w:space="0" w:color="E6D5BC" w:themeColor="accent6" w:themeTint="66"/>
        <w:bottom w:val="single" w:sz="4" w:space="0" w:color="E6D5BC" w:themeColor="accent6" w:themeTint="66"/>
        <w:right w:val="single" w:sz="4" w:space="0" w:color="E6D5BC" w:themeColor="accent6" w:themeTint="66"/>
        <w:insideH w:val="single" w:sz="4" w:space="0" w:color="E6D5BC" w:themeColor="accent6" w:themeTint="66"/>
        <w:insideV w:val="single" w:sz="4" w:space="0" w:color="E6D5BC" w:themeColor="accent6" w:themeTint="66"/>
      </w:tblBorders>
    </w:tblPr>
    <w:trPr>
      <w:hidden/>
    </w:trPr>
    <w:tblStylePr w:type="firstRow">
      <w:rPr>
        <w:b/>
        <w:bCs/>
      </w:rPr>
      <w:tblPr/>
      <w:trPr>
        <w:hidden/>
      </w:trPr>
      <w:tcPr>
        <w:tcBorders>
          <w:bottom w:val="single" w:sz="12" w:space="0" w:color="D9C19B" w:themeColor="accent6" w:themeTint="99"/>
        </w:tcBorders>
      </w:tcPr>
    </w:tblStylePr>
    <w:tblStylePr w:type="lastRow">
      <w:rPr>
        <w:b/>
        <w:bCs/>
      </w:rPr>
      <w:tblPr/>
      <w:trPr>
        <w:hidden/>
      </w:trPr>
      <w:tcPr>
        <w:tcBorders>
          <w:top w:val="double" w:sz="2" w:space="0" w:color="D9C19B"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F9B268" w:themeColor="accent1" w:themeTint="99"/>
        <w:bottom w:val="single" w:sz="2" w:space="0" w:color="F9B268" w:themeColor="accent1" w:themeTint="99"/>
        <w:insideH w:val="single" w:sz="2" w:space="0" w:color="F9B268" w:themeColor="accent1" w:themeTint="99"/>
        <w:insideV w:val="single" w:sz="2" w:space="0" w:color="F9B268" w:themeColor="accent1" w:themeTint="99"/>
      </w:tblBorders>
    </w:tblPr>
    <w:trPr>
      <w:hidden/>
    </w:tr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86B77" w:themeColor="accent2" w:themeTint="99"/>
        <w:bottom w:val="single" w:sz="2" w:space="0" w:color="D86B77" w:themeColor="accent2" w:themeTint="99"/>
        <w:insideH w:val="single" w:sz="2" w:space="0" w:color="D86B77" w:themeColor="accent2" w:themeTint="99"/>
        <w:insideV w:val="single" w:sz="2" w:space="0" w:color="D86B77" w:themeColor="accent2" w:themeTint="99"/>
      </w:tblBorders>
    </w:tblPr>
    <w:trPr>
      <w:hidden/>
    </w:tr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4DA4D8" w:themeColor="accent3" w:themeTint="99"/>
        <w:bottom w:val="single" w:sz="2" w:space="0" w:color="4DA4D8" w:themeColor="accent3" w:themeTint="99"/>
        <w:insideH w:val="single" w:sz="2" w:space="0" w:color="4DA4D8" w:themeColor="accent3" w:themeTint="99"/>
        <w:insideV w:val="single" w:sz="2" w:space="0" w:color="4DA4D8" w:themeColor="accent3" w:themeTint="99"/>
      </w:tblBorders>
    </w:tblPr>
    <w:trPr>
      <w:hidden/>
    </w:tr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8DC182" w:themeColor="accent4" w:themeTint="99"/>
        <w:bottom w:val="single" w:sz="2" w:space="0" w:color="8DC182" w:themeColor="accent4" w:themeTint="99"/>
        <w:insideH w:val="single" w:sz="2" w:space="0" w:color="8DC182" w:themeColor="accent4" w:themeTint="99"/>
        <w:insideV w:val="single" w:sz="2" w:space="0" w:color="8DC182" w:themeColor="accent4" w:themeTint="99"/>
      </w:tblBorders>
    </w:tblPr>
    <w:trPr>
      <w:hidden/>
    </w:tr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F87B7" w:themeColor="accent5" w:themeTint="99"/>
        <w:bottom w:val="single" w:sz="2" w:space="0" w:color="9F87B7" w:themeColor="accent5" w:themeTint="99"/>
        <w:insideH w:val="single" w:sz="2" w:space="0" w:color="9F87B7" w:themeColor="accent5" w:themeTint="99"/>
        <w:insideV w:val="single" w:sz="2" w:space="0" w:color="9F87B7" w:themeColor="accent5" w:themeTint="99"/>
      </w:tblBorders>
    </w:tblPr>
    <w:trPr>
      <w:hidden/>
    </w:tr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D9C19B" w:themeColor="accent6" w:themeTint="99"/>
        <w:bottom w:val="single" w:sz="2" w:space="0" w:color="D9C19B" w:themeColor="accent6" w:themeTint="99"/>
        <w:insideH w:val="single" w:sz="2" w:space="0" w:color="D9C19B" w:themeColor="accent6" w:themeTint="99"/>
        <w:insideV w:val="single" w:sz="2" w:space="0" w:color="D9C19B" w:themeColor="accent6" w:themeTint="99"/>
      </w:tblBorders>
    </w:tblPr>
    <w:trPr>
      <w:hidden/>
    </w:tr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tblStylePr w:type="neCell">
      <w:tblPr/>
      <w:trPr>
        <w:hidden/>
      </w:trPr>
      <w:tcPr>
        <w:tcBorders>
          <w:bottom w:val="single" w:sz="4" w:space="0" w:color="F9B268" w:themeColor="accent1" w:themeTint="99"/>
        </w:tcBorders>
      </w:tcPr>
    </w:tblStylePr>
    <w:tblStylePr w:type="nwCell">
      <w:tblPr/>
      <w:trPr>
        <w:hidden/>
      </w:trPr>
      <w:tcPr>
        <w:tcBorders>
          <w:bottom w:val="single" w:sz="4" w:space="0" w:color="F9B268" w:themeColor="accent1" w:themeTint="99"/>
        </w:tcBorders>
      </w:tcPr>
    </w:tblStylePr>
    <w:tblStylePr w:type="seCell">
      <w:tblPr/>
      <w:trPr>
        <w:hidden/>
      </w:trPr>
      <w:tcPr>
        <w:tcBorders>
          <w:top w:val="single" w:sz="4" w:space="0" w:color="F9B268" w:themeColor="accent1" w:themeTint="99"/>
        </w:tcBorders>
      </w:tcPr>
    </w:tblStylePr>
    <w:tblStylePr w:type="swCell">
      <w:tblPr/>
      <w:trPr>
        <w:hidden/>
      </w:trPr>
      <w:tcPr>
        <w:tcBorders>
          <w:top w:val="single" w:sz="4" w:space="0" w:color="F9B268"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tblStylePr w:type="neCell">
      <w:tblPr/>
      <w:trPr>
        <w:hidden/>
      </w:trPr>
      <w:tcPr>
        <w:tcBorders>
          <w:bottom w:val="single" w:sz="4" w:space="0" w:color="D86B77" w:themeColor="accent2" w:themeTint="99"/>
        </w:tcBorders>
      </w:tcPr>
    </w:tblStylePr>
    <w:tblStylePr w:type="nwCell">
      <w:tblPr/>
      <w:trPr>
        <w:hidden/>
      </w:trPr>
      <w:tcPr>
        <w:tcBorders>
          <w:bottom w:val="single" w:sz="4" w:space="0" w:color="D86B77" w:themeColor="accent2" w:themeTint="99"/>
        </w:tcBorders>
      </w:tcPr>
    </w:tblStylePr>
    <w:tblStylePr w:type="seCell">
      <w:tblPr/>
      <w:trPr>
        <w:hidden/>
      </w:trPr>
      <w:tcPr>
        <w:tcBorders>
          <w:top w:val="single" w:sz="4" w:space="0" w:color="D86B77" w:themeColor="accent2" w:themeTint="99"/>
        </w:tcBorders>
      </w:tcPr>
    </w:tblStylePr>
    <w:tblStylePr w:type="swCell">
      <w:tblPr/>
      <w:trPr>
        <w:hidden/>
      </w:trPr>
      <w:tcPr>
        <w:tcBorders>
          <w:top w:val="single" w:sz="4" w:space="0" w:color="D86B77"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tblStylePr w:type="neCell">
      <w:tblPr/>
      <w:trPr>
        <w:hidden/>
      </w:trPr>
      <w:tcPr>
        <w:tcBorders>
          <w:bottom w:val="single" w:sz="4" w:space="0" w:color="4DA4D8" w:themeColor="accent3" w:themeTint="99"/>
        </w:tcBorders>
      </w:tcPr>
    </w:tblStylePr>
    <w:tblStylePr w:type="nwCell">
      <w:tblPr/>
      <w:trPr>
        <w:hidden/>
      </w:trPr>
      <w:tcPr>
        <w:tcBorders>
          <w:bottom w:val="single" w:sz="4" w:space="0" w:color="4DA4D8" w:themeColor="accent3" w:themeTint="99"/>
        </w:tcBorders>
      </w:tcPr>
    </w:tblStylePr>
    <w:tblStylePr w:type="seCell">
      <w:tblPr/>
      <w:trPr>
        <w:hidden/>
      </w:trPr>
      <w:tcPr>
        <w:tcBorders>
          <w:top w:val="single" w:sz="4" w:space="0" w:color="4DA4D8" w:themeColor="accent3" w:themeTint="99"/>
        </w:tcBorders>
      </w:tcPr>
    </w:tblStylePr>
    <w:tblStylePr w:type="swCell">
      <w:tblPr/>
      <w:trPr>
        <w:hidden/>
      </w:trPr>
      <w:tcPr>
        <w:tcBorders>
          <w:top w:val="single" w:sz="4" w:space="0" w:color="4DA4D8"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tblStylePr w:type="neCell">
      <w:tblPr/>
      <w:trPr>
        <w:hidden/>
      </w:trPr>
      <w:tcPr>
        <w:tcBorders>
          <w:bottom w:val="single" w:sz="4" w:space="0" w:color="8DC182" w:themeColor="accent4" w:themeTint="99"/>
        </w:tcBorders>
      </w:tcPr>
    </w:tblStylePr>
    <w:tblStylePr w:type="nwCell">
      <w:tblPr/>
      <w:trPr>
        <w:hidden/>
      </w:trPr>
      <w:tcPr>
        <w:tcBorders>
          <w:bottom w:val="single" w:sz="4" w:space="0" w:color="8DC182" w:themeColor="accent4" w:themeTint="99"/>
        </w:tcBorders>
      </w:tcPr>
    </w:tblStylePr>
    <w:tblStylePr w:type="seCell">
      <w:tblPr/>
      <w:trPr>
        <w:hidden/>
      </w:trPr>
      <w:tcPr>
        <w:tcBorders>
          <w:top w:val="single" w:sz="4" w:space="0" w:color="8DC182" w:themeColor="accent4" w:themeTint="99"/>
        </w:tcBorders>
      </w:tcPr>
    </w:tblStylePr>
    <w:tblStylePr w:type="swCell">
      <w:tblPr/>
      <w:trPr>
        <w:hidden/>
      </w:trPr>
      <w:tcPr>
        <w:tcBorders>
          <w:top w:val="single" w:sz="4" w:space="0" w:color="8DC182"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tblStylePr w:type="neCell">
      <w:tblPr/>
      <w:trPr>
        <w:hidden/>
      </w:trPr>
      <w:tcPr>
        <w:tcBorders>
          <w:bottom w:val="single" w:sz="4" w:space="0" w:color="9F87B7" w:themeColor="accent5" w:themeTint="99"/>
        </w:tcBorders>
      </w:tcPr>
    </w:tblStylePr>
    <w:tblStylePr w:type="nwCell">
      <w:tblPr/>
      <w:trPr>
        <w:hidden/>
      </w:trPr>
      <w:tcPr>
        <w:tcBorders>
          <w:bottom w:val="single" w:sz="4" w:space="0" w:color="9F87B7" w:themeColor="accent5" w:themeTint="99"/>
        </w:tcBorders>
      </w:tcPr>
    </w:tblStylePr>
    <w:tblStylePr w:type="seCell">
      <w:tblPr/>
      <w:trPr>
        <w:hidden/>
      </w:trPr>
      <w:tcPr>
        <w:tcBorders>
          <w:top w:val="single" w:sz="4" w:space="0" w:color="9F87B7" w:themeColor="accent5" w:themeTint="99"/>
        </w:tcBorders>
      </w:tcPr>
    </w:tblStylePr>
    <w:tblStylePr w:type="swCell">
      <w:tblPr/>
      <w:trPr>
        <w:hidden/>
      </w:trPr>
      <w:tcPr>
        <w:tcBorders>
          <w:top w:val="single" w:sz="4" w:space="0" w:color="9F87B7"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tblStylePr w:type="neCell">
      <w:tblPr/>
      <w:trPr>
        <w:hidden/>
      </w:trPr>
      <w:tcPr>
        <w:tcBorders>
          <w:bottom w:val="single" w:sz="4" w:space="0" w:color="D9C19B" w:themeColor="accent6" w:themeTint="99"/>
        </w:tcBorders>
      </w:tcPr>
    </w:tblStylePr>
    <w:tblStylePr w:type="nwCell">
      <w:tblPr/>
      <w:trPr>
        <w:hidden/>
      </w:trPr>
      <w:tcPr>
        <w:tcBorders>
          <w:bottom w:val="single" w:sz="4" w:space="0" w:color="D9C19B" w:themeColor="accent6" w:themeTint="99"/>
        </w:tcBorders>
      </w:tcPr>
    </w:tblStylePr>
    <w:tblStylePr w:type="seCell">
      <w:tblPr/>
      <w:trPr>
        <w:hidden/>
      </w:trPr>
      <w:tcPr>
        <w:tcBorders>
          <w:top w:val="single" w:sz="4" w:space="0" w:color="D9C19B" w:themeColor="accent6" w:themeTint="99"/>
        </w:tcBorders>
      </w:tcPr>
    </w:tblStylePr>
    <w:tblStylePr w:type="swCell">
      <w:tblPr/>
      <w:trPr>
        <w:hidden/>
      </w:trPr>
      <w:tcPr>
        <w:tcBorders>
          <w:top w:val="single" w:sz="4" w:space="0" w:color="D9C19B"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7F09" w:themeFill="accent1"/>
      </w:tcPr>
    </w:tblStylePr>
    <w:tblStylePr w:type="band1Vert">
      <w:tblPr/>
      <w:trPr>
        <w:hidden/>
      </w:trPr>
      <w:tcPr>
        <w:shd w:val="clear" w:color="auto" w:fill="FBCB9A" w:themeFill="accent1" w:themeFillTint="66"/>
      </w:tcPr>
    </w:tblStylePr>
    <w:tblStylePr w:type="band1Horz">
      <w:tblPr/>
      <w:trPr>
        <w:hidden/>
      </w:trPr>
      <w:tcPr>
        <w:shd w:val="clear" w:color="auto" w:fill="FBCB9A"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F2936" w:themeFill="accent2"/>
      </w:tcPr>
    </w:tblStylePr>
    <w:tblStylePr w:type="band1Vert">
      <w:tblPr/>
      <w:trPr>
        <w:hidden/>
      </w:trPr>
      <w:tcPr>
        <w:shd w:val="clear" w:color="auto" w:fill="E59CA4" w:themeFill="accent2" w:themeFillTint="66"/>
      </w:tcPr>
    </w:tblStylePr>
    <w:tblStylePr w:type="band1Horz">
      <w:tblPr/>
      <w:trPr>
        <w:hidden/>
      </w:trPr>
      <w:tcPr>
        <w:shd w:val="clear" w:color="auto" w:fill="E59CA4"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B587C" w:themeFill="accent3"/>
      </w:tcPr>
    </w:tblStylePr>
    <w:tblStylePr w:type="band1Vert">
      <w:tblPr/>
      <w:trPr>
        <w:hidden/>
      </w:trPr>
      <w:tcPr>
        <w:shd w:val="clear" w:color="auto" w:fill="89C2E5" w:themeFill="accent3" w:themeFillTint="66"/>
      </w:tcPr>
    </w:tblStylePr>
    <w:tblStylePr w:type="band1Horz">
      <w:tblPr/>
      <w:trPr>
        <w:hidden/>
      </w:trPr>
      <w:tcPr>
        <w:shd w:val="clear" w:color="auto" w:fill="89C2E5"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8542" w:themeFill="accent4"/>
      </w:tcPr>
    </w:tblStylePr>
    <w:tblStylePr w:type="band1Vert">
      <w:tblPr/>
      <w:trPr>
        <w:hidden/>
      </w:trPr>
      <w:tcPr>
        <w:shd w:val="clear" w:color="auto" w:fill="B3D5AB" w:themeFill="accent4" w:themeFillTint="66"/>
      </w:tcPr>
    </w:tblStylePr>
    <w:tblStylePr w:type="band1Horz">
      <w:tblPr/>
      <w:trPr>
        <w:hidden/>
      </w:trPr>
      <w:tcPr>
        <w:shd w:val="clear" w:color="auto" w:fill="B3D5AB"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04878" w:themeFill="accent5"/>
      </w:tcPr>
    </w:tblStylePr>
    <w:tblStylePr w:type="band1Vert">
      <w:tblPr/>
      <w:trPr>
        <w:hidden/>
      </w:trPr>
      <w:tcPr>
        <w:shd w:val="clear" w:color="auto" w:fill="BFAFCF" w:themeFill="accent5" w:themeFillTint="66"/>
      </w:tcPr>
    </w:tblStylePr>
    <w:tblStylePr w:type="band1Horz">
      <w:tblPr/>
      <w:trPr>
        <w:hidden/>
      </w:trPr>
      <w:tcPr>
        <w:shd w:val="clear" w:color="auto" w:fill="BFAFCF"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9859" w:themeFill="accent6"/>
      </w:tcPr>
    </w:tblStylePr>
    <w:tblStylePr w:type="band1Vert">
      <w:tblPr/>
      <w:trPr>
        <w:hidden/>
      </w:trPr>
      <w:tcPr>
        <w:shd w:val="clear" w:color="auto" w:fill="E6D5BC" w:themeFill="accent6" w:themeFillTint="66"/>
      </w:tcPr>
    </w:tblStylePr>
    <w:tblStylePr w:type="band1Horz">
      <w:tblPr/>
      <w:trPr>
        <w:hidden/>
      </w:trPr>
      <w:tcPr>
        <w:shd w:val="clear" w:color="auto" w:fill="E6D5BC"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B35E06" w:themeColor="accent1" w:themeShade="BF"/>
    </w:r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761E28" w:themeColor="accent2" w:themeShade="BF"/>
    </w:r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4" w:space="0" w:color="D86B77" w:themeColor="accent2" w:themeTint="99"/>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14415C" w:themeColor="accent3" w:themeShade="BF"/>
    </w:r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4" w:space="0" w:color="4DA4D8" w:themeColor="accent3" w:themeTint="99"/>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3A6331" w:themeColor="accent4" w:themeShade="BF"/>
    </w:r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rPr>
      <w:tblPr/>
      <w:trPr>
        <w:hidden/>
      </w:trPr>
      <w:tcPr>
        <w:tcBorders>
          <w:bottom w:val="single" w:sz="12" w:space="0" w:color="8DC182" w:themeColor="accent4" w:themeTint="99"/>
        </w:tcBorders>
      </w:tcPr>
    </w:tblStylePr>
    <w:tblStylePr w:type="lastRow">
      <w:rPr>
        <w:b/>
        <w:bCs/>
      </w:rPr>
      <w:tblPr/>
      <w:trPr>
        <w:hidden/>
      </w:trPr>
      <w:tcPr>
        <w:tcBorders>
          <w:top w:val="double" w:sz="4" w:space="0" w:color="8DC182" w:themeColor="accent4" w:themeTint="99"/>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473659" w:themeColor="accent5" w:themeShade="BF"/>
    </w:r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rPr>
      <w:tblPr/>
      <w:trPr>
        <w:hidden/>
      </w:trPr>
      <w:tcPr>
        <w:tcBorders>
          <w:bottom w:val="single" w:sz="12" w:space="0" w:color="9F87B7" w:themeColor="accent5" w:themeTint="99"/>
        </w:tcBorders>
      </w:tcPr>
    </w:tblStylePr>
    <w:tblStylePr w:type="lastRow">
      <w:rPr>
        <w:b/>
        <w:bCs/>
      </w:rPr>
      <w:tblPr/>
      <w:trPr>
        <w:hidden/>
      </w:trPr>
      <w:tcPr>
        <w:tcBorders>
          <w:top w:val="double" w:sz="4" w:space="0" w:color="9F87B7" w:themeColor="accent5" w:themeTint="99"/>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997339" w:themeColor="accent6" w:themeShade="BF"/>
    </w:r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rPr>
      <w:tblPr/>
      <w:trPr>
        <w:hidden/>
      </w:trPr>
      <w:tcPr>
        <w:tcBorders>
          <w:bottom w:val="single" w:sz="12" w:space="0" w:color="D9C19B" w:themeColor="accent6" w:themeTint="99"/>
        </w:tcBorders>
      </w:tcPr>
    </w:tblStylePr>
    <w:tblStylePr w:type="lastRow">
      <w:rPr>
        <w:b/>
        <w:bCs/>
      </w:rPr>
      <w:tblPr/>
      <w:trPr>
        <w:hidden/>
      </w:trPr>
      <w:tcPr>
        <w:tcBorders>
          <w:top w:val="double" w:sz="4" w:space="0" w:color="D9C19B" w:themeColor="accent6" w:themeTint="99"/>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rful-Accent1">
    <w:name w:val="Grid Table 7 Colorful Accent 1"/>
    <w:basedOn w:val="TableNormal"/>
    <w:uiPriority w:val="99"/>
    <w:rsid w:val="008723DE"/>
    <w:pPr>
      <w:spacing w:after="0" w:line="240" w:lineRule="auto"/>
    </w:pPr>
    <w:rPr>
      <w:color w:val="B35E06" w:themeColor="accent1" w:themeShade="BF"/>
    </w:r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tblStylePr w:type="neCell">
      <w:tblPr/>
      <w:trPr>
        <w:hidden/>
      </w:trPr>
      <w:tcPr>
        <w:tcBorders>
          <w:bottom w:val="single" w:sz="4" w:space="0" w:color="F9B268" w:themeColor="accent1" w:themeTint="99"/>
        </w:tcBorders>
      </w:tcPr>
    </w:tblStylePr>
    <w:tblStylePr w:type="nwCell">
      <w:tblPr/>
      <w:trPr>
        <w:hidden/>
      </w:trPr>
      <w:tcPr>
        <w:tcBorders>
          <w:bottom w:val="single" w:sz="4" w:space="0" w:color="F9B268" w:themeColor="accent1" w:themeTint="99"/>
        </w:tcBorders>
      </w:tcPr>
    </w:tblStylePr>
    <w:tblStylePr w:type="seCell">
      <w:tblPr/>
      <w:trPr>
        <w:hidden/>
      </w:trPr>
      <w:tcPr>
        <w:tcBorders>
          <w:top w:val="single" w:sz="4" w:space="0" w:color="F9B268" w:themeColor="accent1" w:themeTint="99"/>
        </w:tcBorders>
      </w:tcPr>
    </w:tblStylePr>
    <w:tblStylePr w:type="swCell">
      <w:tblPr/>
      <w:trPr>
        <w:hidden/>
      </w:trPr>
      <w:tcPr>
        <w:tcBorders>
          <w:top w:val="single" w:sz="4" w:space="0" w:color="F9B268" w:themeColor="accent1" w:themeTint="99"/>
        </w:tcBorders>
      </w:tcPr>
    </w:tblStylePr>
  </w:style>
  <w:style w:type="table" w:styleId="GridTable7Colorful-Accent2">
    <w:name w:val="Grid Table 7 Colorful Accent 2"/>
    <w:basedOn w:val="TableNormal"/>
    <w:uiPriority w:val="99"/>
    <w:rsid w:val="008723DE"/>
    <w:pPr>
      <w:spacing w:after="0" w:line="240" w:lineRule="auto"/>
    </w:pPr>
    <w:rPr>
      <w:color w:val="761E28" w:themeColor="accent2" w:themeShade="BF"/>
    </w:r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tblStylePr w:type="neCell">
      <w:tblPr/>
      <w:trPr>
        <w:hidden/>
      </w:trPr>
      <w:tcPr>
        <w:tcBorders>
          <w:bottom w:val="single" w:sz="4" w:space="0" w:color="D86B77" w:themeColor="accent2" w:themeTint="99"/>
        </w:tcBorders>
      </w:tcPr>
    </w:tblStylePr>
    <w:tblStylePr w:type="nwCell">
      <w:tblPr/>
      <w:trPr>
        <w:hidden/>
      </w:trPr>
      <w:tcPr>
        <w:tcBorders>
          <w:bottom w:val="single" w:sz="4" w:space="0" w:color="D86B77" w:themeColor="accent2" w:themeTint="99"/>
        </w:tcBorders>
      </w:tcPr>
    </w:tblStylePr>
    <w:tblStylePr w:type="seCell">
      <w:tblPr/>
      <w:trPr>
        <w:hidden/>
      </w:trPr>
      <w:tcPr>
        <w:tcBorders>
          <w:top w:val="single" w:sz="4" w:space="0" w:color="D86B77" w:themeColor="accent2" w:themeTint="99"/>
        </w:tcBorders>
      </w:tcPr>
    </w:tblStylePr>
    <w:tblStylePr w:type="swCell">
      <w:tblPr/>
      <w:trPr>
        <w:hidden/>
      </w:trPr>
      <w:tcPr>
        <w:tcBorders>
          <w:top w:val="single" w:sz="4" w:space="0" w:color="D86B77" w:themeColor="accent2" w:themeTint="99"/>
        </w:tcBorders>
      </w:tcPr>
    </w:tblStylePr>
  </w:style>
  <w:style w:type="table" w:styleId="GridTable7Colorful-Accent3">
    <w:name w:val="Grid Table 7 Colorful Accent 3"/>
    <w:basedOn w:val="TableNormal"/>
    <w:uiPriority w:val="99"/>
    <w:rsid w:val="008723DE"/>
    <w:pPr>
      <w:spacing w:after="0" w:line="240" w:lineRule="auto"/>
    </w:pPr>
    <w:rPr>
      <w:color w:val="14415C" w:themeColor="accent3" w:themeShade="BF"/>
    </w:r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tblStylePr w:type="neCell">
      <w:tblPr/>
      <w:trPr>
        <w:hidden/>
      </w:trPr>
      <w:tcPr>
        <w:tcBorders>
          <w:bottom w:val="single" w:sz="4" w:space="0" w:color="4DA4D8" w:themeColor="accent3" w:themeTint="99"/>
        </w:tcBorders>
      </w:tcPr>
    </w:tblStylePr>
    <w:tblStylePr w:type="nwCell">
      <w:tblPr/>
      <w:trPr>
        <w:hidden/>
      </w:trPr>
      <w:tcPr>
        <w:tcBorders>
          <w:bottom w:val="single" w:sz="4" w:space="0" w:color="4DA4D8" w:themeColor="accent3" w:themeTint="99"/>
        </w:tcBorders>
      </w:tcPr>
    </w:tblStylePr>
    <w:tblStylePr w:type="seCell">
      <w:tblPr/>
      <w:trPr>
        <w:hidden/>
      </w:trPr>
      <w:tcPr>
        <w:tcBorders>
          <w:top w:val="single" w:sz="4" w:space="0" w:color="4DA4D8" w:themeColor="accent3" w:themeTint="99"/>
        </w:tcBorders>
      </w:tcPr>
    </w:tblStylePr>
    <w:tblStylePr w:type="swCell">
      <w:tblPr/>
      <w:trPr>
        <w:hidden/>
      </w:trPr>
      <w:tcPr>
        <w:tcBorders>
          <w:top w:val="single" w:sz="4" w:space="0" w:color="4DA4D8" w:themeColor="accent3" w:themeTint="99"/>
        </w:tcBorders>
      </w:tcPr>
    </w:tblStylePr>
  </w:style>
  <w:style w:type="table" w:styleId="GridTable7Colorful-Accent4">
    <w:name w:val="Grid Table 7 Colorful Accent 4"/>
    <w:basedOn w:val="TableNormal"/>
    <w:uiPriority w:val="99"/>
    <w:rsid w:val="008723DE"/>
    <w:pPr>
      <w:spacing w:after="0" w:line="240" w:lineRule="auto"/>
    </w:pPr>
    <w:rPr>
      <w:color w:val="3A6331" w:themeColor="accent4" w:themeShade="BF"/>
    </w:r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tblStylePr w:type="neCell">
      <w:tblPr/>
      <w:trPr>
        <w:hidden/>
      </w:trPr>
      <w:tcPr>
        <w:tcBorders>
          <w:bottom w:val="single" w:sz="4" w:space="0" w:color="8DC182" w:themeColor="accent4" w:themeTint="99"/>
        </w:tcBorders>
      </w:tcPr>
    </w:tblStylePr>
    <w:tblStylePr w:type="nwCell">
      <w:tblPr/>
      <w:trPr>
        <w:hidden/>
      </w:trPr>
      <w:tcPr>
        <w:tcBorders>
          <w:bottom w:val="single" w:sz="4" w:space="0" w:color="8DC182" w:themeColor="accent4" w:themeTint="99"/>
        </w:tcBorders>
      </w:tcPr>
    </w:tblStylePr>
    <w:tblStylePr w:type="seCell">
      <w:tblPr/>
      <w:trPr>
        <w:hidden/>
      </w:trPr>
      <w:tcPr>
        <w:tcBorders>
          <w:top w:val="single" w:sz="4" w:space="0" w:color="8DC182" w:themeColor="accent4" w:themeTint="99"/>
        </w:tcBorders>
      </w:tcPr>
    </w:tblStylePr>
    <w:tblStylePr w:type="swCell">
      <w:tblPr/>
      <w:trPr>
        <w:hidden/>
      </w:trPr>
      <w:tcPr>
        <w:tcBorders>
          <w:top w:val="single" w:sz="4" w:space="0" w:color="8DC182" w:themeColor="accent4" w:themeTint="99"/>
        </w:tcBorders>
      </w:tcPr>
    </w:tblStylePr>
  </w:style>
  <w:style w:type="table" w:styleId="GridTable7Colorful-Accent5">
    <w:name w:val="Grid Table 7 Colorful Accent 5"/>
    <w:basedOn w:val="TableNormal"/>
    <w:uiPriority w:val="99"/>
    <w:rsid w:val="008723DE"/>
    <w:pPr>
      <w:spacing w:after="0" w:line="240" w:lineRule="auto"/>
    </w:pPr>
    <w:rPr>
      <w:color w:val="473659" w:themeColor="accent5" w:themeShade="BF"/>
    </w:r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tblStylePr w:type="neCell">
      <w:tblPr/>
      <w:trPr>
        <w:hidden/>
      </w:trPr>
      <w:tcPr>
        <w:tcBorders>
          <w:bottom w:val="single" w:sz="4" w:space="0" w:color="9F87B7" w:themeColor="accent5" w:themeTint="99"/>
        </w:tcBorders>
      </w:tcPr>
    </w:tblStylePr>
    <w:tblStylePr w:type="nwCell">
      <w:tblPr/>
      <w:trPr>
        <w:hidden/>
      </w:trPr>
      <w:tcPr>
        <w:tcBorders>
          <w:bottom w:val="single" w:sz="4" w:space="0" w:color="9F87B7" w:themeColor="accent5" w:themeTint="99"/>
        </w:tcBorders>
      </w:tcPr>
    </w:tblStylePr>
    <w:tblStylePr w:type="seCell">
      <w:tblPr/>
      <w:trPr>
        <w:hidden/>
      </w:trPr>
      <w:tcPr>
        <w:tcBorders>
          <w:top w:val="single" w:sz="4" w:space="0" w:color="9F87B7" w:themeColor="accent5" w:themeTint="99"/>
        </w:tcBorders>
      </w:tcPr>
    </w:tblStylePr>
    <w:tblStylePr w:type="swCell">
      <w:tblPr/>
      <w:trPr>
        <w:hidden/>
      </w:trPr>
      <w:tcPr>
        <w:tcBorders>
          <w:top w:val="single" w:sz="4" w:space="0" w:color="9F87B7" w:themeColor="accent5" w:themeTint="99"/>
        </w:tcBorders>
      </w:tcPr>
    </w:tblStylePr>
  </w:style>
  <w:style w:type="table" w:styleId="GridTable7Colorful-Accent6">
    <w:name w:val="Grid Table 7 Colorful Accent 6"/>
    <w:basedOn w:val="TableNormal"/>
    <w:uiPriority w:val="99"/>
    <w:rsid w:val="008723DE"/>
    <w:pPr>
      <w:spacing w:after="0" w:line="240" w:lineRule="auto"/>
    </w:pPr>
    <w:rPr>
      <w:color w:val="997339" w:themeColor="accent6" w:themeShade="BF"/>
    </w:r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tblStylePr w:type="neCell">
      <w:tblPr/>
      <w:trPr>
        <w:hidden/>
      </w:trPr>
      <w:tcPr>
        <w:tcBorders>
          <w:bottom w:val="single" w:sz="4" w:space="0" w:color="D9C19B" w:themeColor="accent6" w:themeTint="99"/>
        </w:tcBorders>
      </w:tcPr>
    </w:tblStylePr>
    <w:tblStylePr w:type="nwCell">
      <w:tblPr/>
      <w:trPr>
        <w:hidden/>
      </w:trPr>
      <w:tcPr>
        <w:tcBorders>
          <w:bottom w:val="single" w:sz="4" w:space="0" w:color="D9C19B" w:themeColor="accent6" w:themeTint="99"/>
        </w:tcBorders>
      </w:tcPr>
    </w:tblStylePr>
    <w:tblStylePr w:type="seCell">
      <w:tblPr/>
      <w:trPr>
        <w:hidden/>
      </w:trPr>
      <w:tcPr>
        <w:tcBorders>
          <w:top w:val="single" w:sz="4" w:space="0" w:color="D9C19B" w:themeColor="accent6" w:themeTint="99"/>
        </w:tcBorders>
      </w:tcPr>
    </w:tblStylePr>
    <w:tblStylePr w:type="swCell">
      <w:tblPr/>
      <w:trPr>
        <w:hidden/>
      </w:trPr>
      <w:tcPr>
        <w:tcBorders>
          <w:top w:val="single" w:sz="4" w:space="0" w:color="D9C19B"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insideH w:val="single" w:sz="8" w:space="0" w:color="F07F09" w:themeColor="accent1"/>
        <w:insideV w:val="single" w:sz="8" w:space="0" w:color="F07F09"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07F09" w:themeColor="accent1"/>
          <w:left w:val="single" w:sz="8" w:space="0" w:color="F07F09" w:themeColor="accent1"/>
          <w:bottom w:val="single" w:sz="18" w:space="0" w:color="F07F09" w:themeColor="accent1"/>
          <w:right w:val="single" w:sz="8" w:space="0" w:color="F07F09" w:themeColor="accent1"/>
          <w:insideH w:val="nil"/>
          <w:insideV w:val="single" w:sz="8" w:space="0" w:color="F07F09"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07F09" w:themeColor="accent1"/>
          <w:left w:val="single" w:sz="8" w:space="0" w:color="F07F09" w:themeColor="accent1"/>
          <w:bottom w:val="single" w:sz="8" w:space="0" w:color="F07F09" w:themeColor="accent1"/>
          <w:right w:val="single" w:sz="8" w:space="0" w:color="F07F09" w:themeColor="accent1"/>
          <w:insideH w:val="nil"/>
          <w:insideV w:val="single" w:sz="8" w:space="0" w:color="F07F0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blStylePr w:type="band1Vert">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shd w:val="clear" w:color="auto" w:fill="FCDFC0" w:themeFill="accent1" w:themeFillTint="3F"/>
      </w:tcPr>
    </w:tblStylePr>
    <w:tblStylePr w:type="band1Horz">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insideV w:val="single" w:sz="8" w:space="0" w:color="F07F09" w:themeColor="accent1"/>
        </w:tcBorders>
        <w:shd w:val="clear" w:color="auto" w:fill="FCDFC0" w:themeFill="accent1" w:themeFillTint="3F"/>
      </w:tcPr>
    </w:tblStylePr>
    <w:tblStylePr w:type="band2Horz">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insideV w:val="single" w:sz="8" w:space="0" w:color="F07F09"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insideH w:val="single" w:sz="8" w:space="0" w:color="9F2936" w:themeColor="accent2"/>
        <w:insideV w:val="single" w:sz="8" w:space="0" w:color="9F2936"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F2936" w:themeColor="accent2"/>
          <w:left w:val="single" w:sz="8" w:space="0" w:color="9F2936" w:themeColor="accent2"/>
          <w:bottom w:val="single" w:sz="18" w:space="0" w:color="9F2936" w:themeColor="accent2"/>
          <w:right w:val="single" w:sz="8" w:space="0" w:color="9F2936" w:themeColor="accent2"/>
          <w:insideH w:val="nil"/>
          <w:insideV w:val="single" w:sz="8" w:space="0" w:color="9F2936"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F2936" w:themeColor="accent2"/>
          <w:left w:val="single" w:sz="8" w:space="0" w:color="9F2936" w:themeColor="accent2"/>
          <w:bottom w:val="single" w:sz="8" w:space="0" w:color="9F2936" w:themeColor="accent2"/>
          <w:right w:val="single" w:sz="8" w:space="0" w:color="9F2936" w:themeColor="accent2"/>
          <w:insideH w:val="nil"/>
          <w:insideV w:val="single" w:sz="8" w:space="0" w:color="9F2936"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blStylePr w:type="band1Vert">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shd w:val="clear" w:color="auto" w:fill="EFC2C6" w:themeFill="accent2" w:themeFillTint="3F"/>
      </w:tcPr>
    </w:tblStylePr>
    <w:tblStylePr w:type="band1Horz">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insideV w:val="single" w:sz="8" w:space="0" w:color="9F2936" w:themeColor="accent2"/>
        </w:tcBorders>
        <w:shd w:val="clear" w:color="auto" w:fill="EFC2C6" w:themeFill="accent2" w:themeFillTint="3F"/>
      </w:tcPr>
    </w:tblStylePr>
    <w:tblStylePr w:type="band2Horz">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insideV w:val="single" w:sz="8" w:space="0" w:color="9F2936"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insideH w:val="single" w:sz="8" w:space="0" w:color="1B587C" w:themeColor="accent3"/>
        <w:insideV w:val="single" w:sz="8" w:space="0" w:color="1B587C"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1B587C" w:themeColor="accent3"/>
          <w:left w:val="single" w:sz="8" w:space="0" w:color="1B587C" w:themeColor="accent3"/>
          <w:bottom w:val="single" w:sz="18" w:space="0" w:color="1B587C" w:themeColor="accent3"/>
          <w:right w:val="single" w:sz="8" w:space="0" w:color="1B587C" w:themeColor="accent3"/>
          <w:insideH w:val="nil"/>
          <w:insideV w:val="single" w:sz="8" w:space="0" w:color="1B587C"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1B587C" w:themeColor="accent3"/>
          <w:left w:val="single" w:sz="8" w:space="0" w:color="1B587C" w:themeColor="accent3"/>
          <w:bottom w:val="single" w:sz="8" w:space="0" w:color="1B587C" w:themeColor="accent3"/>
          <w:right w:val="single" w:sz="8" w:space="0" w:color="1B587C" w:themeColor="accent3"/>
          <w:insideH w:val="nil"/>
          <w:insideV w:val="single" w:sz="8" w:space="0" w:color="1B58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blStylePr w:type="band1Vert">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shd w:val="clear" w:color="auto" w:fill="B5D9EF" w:themeFill="accent3" w:themeFillTint="3F"/>
      </w:tcPr>
    </w:tblStylePr>
    <w:tblStylePr w:type="band1Horz">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insideV w:val="single" w:sz="8" w:space="0" w:color="1B587C" w:themeColor="accent3"/>
        </w:tcBorders>
        <w:shd w:val="clear" w:color="auto" w:fill="B5D9EF" w:themeFill="accent3" w:themeFillTint="3F"/>
      </w:tcPr>
    </w:tblStylePr>
    <w:tblStylePr w:type="band2Horz">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insideV w:val="single" w:sz="8" w:space="0" w:color="1B587C"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insideH w:val="single" w:sz="8" w:space="0" w:color="4E8542" w:themeColor="accent4"/>
        <w:insideV w:val="single" w:sz="8" w:space="0" w:color="4E854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E8542" w:themeColor="accent4"/>
          <w:left w:val="single" w:sz="8" w:space="0" w:color="4E8542" w:themeColor="accent4"/>
          <w:bottom w:val="single" w:sz="18" w:space="0" w:color="4E8542" w:themeColor="accent4"/>
          <w:right w:val="single" w:sz="8" w:space="0" w:color="4E8542" w:themeColor="accent4"/>
          <w:insideH w:val="nil"/>
          <w:insideV w:val="single" w:sz="8" w:space="0" w:color="4E854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E8542" w:themeColor="accent4"/>
          <w:left w:val="single" w:sz="8" w:space="0" w:color="4E8542" w:themeColor="accent4"/>
          <w:bottom w:val="single" w:sz="8" w:space="0" w:color="4E8542" w:themeColor="accent4"/>
          <w:right w:val="single" w:sz="8" w:space="0" w:color="4E8542" w:themeColor="accent4"/>
          <w:insideH w:val="nil"/>
          <w:insideV w:val="single" w:sz="8" w:space="0" w:color="4E854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blStylePr w:type="band1Vert">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shd w:val="clear" w:color="auto" w:fill="D0E5CB" w:themeFill="accent4" w:themeFillTint="3F"/>
      </w:tcPr>
    </w:tblStylePr>
    <w:tblStylePr w:type="band1Horz">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insideV w:val="single" w:sz="8" w:space="0" w:color="4E8542" w:themeColor="accent4"/>
        </w:tcBorders>
        <w:shd w:val="clear" w:color="auto" w:fill="D0E5CB" w:themeFill="accent4" w:themeFillTint="3F"/>
      </w:tcPr>
    </w:tblStylePr>
    <w:tblStylePr w:type="band2Horz">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insideV w:val="single" w:sz="8" w:space="0" w:color="4E854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insideH w:val="single" w:sz="8" w:space="0" w:color="604878" w:themeColor="accent5"/>
        <w:insideV w:val="single" w:sz="8" w:space="0" w:color="604878"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604878" w:themeColor="accent5"/>
          <w:left w:val="single" w:sz="8" w:space="0" w:color="604878" w:themeColor="accent5"/>
          <w:bottom w:val="single" w:sz="18" w:space="0" w:color="604878" w:themeColor="accent5"/>
          <w:right w:val="single" w:sz="8" w:space="0" w:color="604878" w:themeColor="accent5"/>
          <w:insideH w:val="nil"/>
          <w:insideV w:val="single" w:sz="8" w:space="0" w:color="604878"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604878" w:themeColor="accent5"/>
          <w:left w:val="single" w:sz="8" w:space="0" w:color="604878" w:themeColor="accent5"/>
          <w:bottom w:val="single" w:sz="8" w:space="0" w:color="604878" w:themeColor="accent5"/>
          <w:right w:val="single" w:sz="8" w:space="0" w:color="604878" w:themeColor="accent5"/>
          <w:insideH w:val="nil"/>
          <w:insideV w:val="single" w:sz="8" w:space="0" w:color="60487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blStylePr w:type="band1Vert">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shd w:val="clear" w:color="auto" w:fill="D7CDE1" w:themeFill="accent5" w:themeFillTint="3F"/>
      </w:tcPr>
    </w:tblStylePr>
    <w:tblStylePr w:type="band1Horz">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insideV w:val="single" w:sz="8" w:space="0" w:color="604878" w:themeColor="accent5"/>
        </w:tcBorders>
        <w:shd w:val="clear" w:color="auto" w:fill="D7CDE1" w:themeFill="accent5" w:themeFillTint="3F"/>
      </w:tcPr>
    </w:tblStylePr>
    <w:tblStylePr w:type="band2Horz">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insideV w:val="single" w:sz="8" w:space="0" w:color="604878"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insideH w:val="single" w:sz="8" w:space="0" w:color="C19859" w:themeColor="accent6"/>
        <w:insideV w:val="single" w:sz="8" w:space="0" w:color="C19859"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19859" w:themeColor="accent6"/>
          <w:left w:val="single" w:sz="8" w:space="0" w:color="C19859" w:themeColor="accent6"/>
          <w:bottom w:val="single" w:sz="18" w:space="0" w:color="C19859" w:themeColor="accent6"/>
          <w:right w:val="single" w:sz="8" w:space="0" w:color="C19859" w:themeColor="accent6"/>
          <w:insideH w:val="nil"/>
          <w:insideV w:val="single" w:sz="8" w:space="0" w:color="C19859"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19859" w:themeColor="accent6"/>
          <w:left w:val="single" w:sz="8" w:space="0" w:color="C19859" w:themeColor="accent6"/>
          <w:bottom w:val="single" w:sz="8" w:space="0" w:color="C19859" w:themeColor="accent6"/>
          <w:right w:val="single" w:sz="8" w:space="0" w:color="C19859" w:themeColor="accent6"/>
          <w:insideH w:val="nil"/>
          <w:insideV w:val="single" w:sz="8" w:space="0" w:color="C1985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blStylePr w:type="band1Vert">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shd w:val="clear" w:color="auto" w:fill="EFE5D6" w:themeFill="accent6" w:themeFillTint="3F"/>
      </w:tcPr>
    </w:tblStylePr>
    <w:tblStylePr w:type="band1Horz">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insideV w:val="single" w:sz="8" w:space="0" w:color="C19859" w:themeColor="accent6"/>
        </w:tcBorders>
        <w:shd w:val="clear" w:color="auto" w:fill="EFE5D6" w:themeFill="accent6" w:themeFillTint="3F"/>
      </w:tcPr>
    </w:tblStylePr>
    <w:tblStylePr w:type="band2Horz">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insideV w:val="single" w:sz="8" w:space="0" w:color="C19859"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tblBorders>
    </w:tblPr>
    <w:trPr>
      <w:hidden/>
    </w:tr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Pr/>
      <w:trPr>
        <w:hidden/>
      </w:trPr>
      <w:tcPr>
        <w:tcBorders>
          <w:top w:val="double" w:sz="6" w:space="0" w:color="F07F09" w:themeColor="accent1"/>
          <w:left w:val="single" w:sz="8" w:space="0" w:color="F07F09" w:themeColor="accent1"/>
          <w:bottom w:val="single" w:sz="8" w:space="0" w:color="F07F09" w:themeColor="accent1"/>
          <w:right w:val="single" w:sz="8" w:space="0" w:color="F07F09" w:themeColor="accent1"/>
        </w:tcBorders>
      </w:tcPr>
    </w:tblStylePr>
    <w:tblStylePr w:type="firstCol">
      <w:rPr>
        <w:b/>
        <w:bCs/>
      </w:rPr>
    </w:tblStylePr>
    <w:tblStylePr w:type="lastCol">
      <w:rPr>
        <w:b/>
        <w:bCs/>
      </w:rPr>
    </w:tblStylePr>
    <w:tblStylePr w:type="band1Vert">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blStylePr w:type="band1Horz">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tblBorders>
    </w:tblPr>
    <w:trPr>
      <w:hidden/>
    </w:tr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Pr/>
      <w:trPr>
        <w:hidden/>
      </w:trPr>
      <w:tcPr>
        <w:tcBorders>
          <w:top w:val="double" w:sz="6" w:space="0" w:color="9F2936" w:themeColor="accent2"/>
          <w:left w:val="single" w:sz="8" w:space="0" w:color="9F2936" w:themeColor="accent2"/>
          <w:bottom w:val="single" w:sz="8" w:space="0" w:color="9F2936" w:themeColor="accent2"/>
          <w:right w:val="single" w:sz="8" w:space="0" w:color="9F2936" w:themeColor="accent2"/>
        </w:tcBorders>
      </w:tcPr>
    </w:tblStylePr>
    <w:tblStylePr w:type="firstCol">
      <w:rPr>
        <w:b/>
        <w:bCs/>
      </w:rPr>
    </w:tblStylePr>
    <w:tblStylePr w:type="lastCol">
      <w:rPr>
        <w:b/>
        <w:bCs/>
      </w:rPr>
    </w:tblStylePr>
    <w:tblStylePr w:type="band1Vert">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blStylePr w:type="band1Horz">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tblBorders>
    </w:tblPr>
    <w:trPr>
      <w:hidden/>
    </w:tr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Pr/>
      <w:trPr>
        <w:hidden/>
      </w:trPr>
      <w:tcPr>
        <w:tcBorders>
          <w:top w:val="double" w:sz="6" w:space="0" w:color="1B587C" w:themeColor="accent3"/>
          <w:left w:val="single" w:sz="8" w:space="0" w:color="1B587C" w:themeColor="accent3"/>
          <w:bottom w:val="single" w:sz="8" w:space="0" w:color="1B587C" w:themeColor="accent3"/>
          <w:right w:val="single" w:sz="8" w:space="0" w:color="1B587C" w:themeColor="accent3"/>
        </w:tcBorders>
      </w:tcPr>
    </w:tblStylePr>
    <w:tblStylePr w:type="firstCol">
      <w:rPr>
        <w:b/>
        <w:bCs/>
      </w:rPr>
    </w:tblStylePr>
    <w:tblStylePr w:type="lastCol">
      <w:rPr>
        <w:b/>
        <w:bCs/>
      </w:rPr>
    </w:tblStylePr>
    <w:tblStylePr w:type="band1Vert">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blStylePr w:type="band1Horz">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tblBorders>
    </w:tblPr>
    <w:trPr>
      <w:hidden/>
    </w:tr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Pr/>
      <w:trPr>
        <w:hidden/>
      </w:trPr>
      <w:tcPr>
        <w:tcBorders>
          <w:top w:val="double" w:sz="6" w:space="0" w:color="4E8542" w:themeColor="accent4"/>
          <w:left w:val="single" w:sz="8" w:space="0" w:color="4E8542" w:themeColor="accent4"/>
          <w:bottom w:val="single" w:sz="8" w:space="0" w:color="4E8542" w:themeColor="accent4"/>
          <w:right w:val="single" w:sz="8" w:space="0" w:color="4E8542" w:themeColor="accent4"/>
        </w:tcBorders>
      </w:tcPr>
    </w:tblStylePr>
    <w:tblStylePr w:type="firstCol">
      <w:rPr>
        <w:b/>
        <w:bCs/>
      </w:rPr>
    </w:tblStylePr>
    <w:tblStylePr w:type="lastCol">
      <w:rPr>
        <w:b/>
        <w:bCs/>
      </w:rPr>
    </w:tblStylePr>
    <w:tblStylePr w:type="band1Vert">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blStylePr w:type="band1Horz">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tblBorders>
    </w:tblPr>
    <w:trPr>
      <w:hidden/>
    </w:tr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Pr/>
      <w:trPr>
        <w:hidden/>
      </w:trPr>
      <w:tcPr>
        <w:tcBorders>
          <w:top w:val="double" w:sz="6" w:space="0" w:color="604878" w:themeColor="accent5"/>
          <w:left w:val="single" w:sz="8" w:space="0" w:color="604878" w:themeColor="accent5"/>
          <w:bottom w:val="single" w:sz="8" w:space="0" w:color="604878" w:themeColor="accent5"/>
          <w:right w:val="single" w:sz="8" w:space="0" w:color="604878" w:themeColor="accent5"/>
        </w:tcBorders>
      </w:tcPr>
    </w:tblStylePr>
    <w:tblStylePr w:type="firstCol">
      <w:rPr>
        <w:b/>
        <w:bCs/>
      </w:rPr>
    </w:tblStylePr>
    <w:tblStylePr w:type="lastCol">
      <w:rPr>
        <w:b/>
        <w:bCs/>
      </w:rPr>
    </w:tblStylePr>
    <w:tblStylePr w:type="band1Vert">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blStylePr w:type="band1Horz">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tblBorders>
    </w:tblPr>
    <w:trPr>
      <w:hidden/>
    </w:tr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Pr/>
      <w:trPr>
        <w:hidden/>
      </w:trPr>
      <w:tcPr>
        <w:tcBorders>
          <w:top w:val="double" w:sz="6" w:space="0" w:color="C19859" w:themeColor="accent6"/>
          <w:left w:val="single" w:sz="8" w:space="0" w:color="C19859" w:themeColor="accent6"/>
          <w:bottom w:val="single" w:sz="8" w:space="0" w:color="C19859" w:themeColor="accent6"/>
          <w:right w:val="single" w:sz="8" w:space="0" w:color="C19859" w:themeColor="accent6"/>
        </w:tcBorders>
      </w:tcPr>
    </w:tblStylePr>
    <w:tblStylePr w:type="firstCol">
      <w:rPr>
        <w:b/>
        <w:bCs/>
      </w:rPr>
    </w:tblStylePr>
    <w:tblStylePr w:type="lastCol">
      <w:rPr>
        <w:b/>
        <w:bCs/>
      </w:rPr>
    </w:tblStylePr>
    <w:tblStylePr w:type="band1Vert">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blStylePr w:type="band1Horz">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B35E06" w:themeColor="accent1" w:themeShade="BF"/>
    </w:rPr>
    <w:tblPr>
      <w:tblStyleRowBandSize w:val="1"/>
      <w:tblStyleColBandSize w:val="1"/>
      <w:tblBorders>
        <w:top w:val="single" w:sz="8" w:space="0" w:color="F07F09" w:themeColor="accent1"/>
        <w:bottom w:val="single" w:sz="8" w:space="0" w:color="F07F09" w:themeColor="accent1"/>
      </w:tblBorders>
    </w:tblPr>
    <w:trPr>
      <w:hidden/>
    </w:trPr>
    <w:tblStylePr w:type="firstRow">
      <w:pPr>
        <w:spacing w:before="0" w:after="0" w:line="240" w:lineRule="auto"/>
      </w:pPr>
      <w:rPr>
        <w:b/>
        <w:bCs/>
      </w:rPr>
      <w:tblPr/>
      <w:trPr>
        <w:hidden/>
      </w:trPr>
      <w:tcPr>
        <w:tcBorders>
          <w:top w:val="single" w:sz="8" w:space="0" w:color="F07F09" w:themeColor="accent1"/>
          <w:left w:val="nil"/>
          <w:bottom w:val="single" w:sz="8" w:space="0" w:color="F07F09" w:themeColor="accent1"/>
          <w:right w:val="nil"/>
          <w:insideH w:val="nil"/>
          <w:insideV w:val="nil"/>
        </w:tcBorders>
      </w:tcPr>
    </w:tblStylePr>
    <w:tblStylePr w:type="lastRow">
      <w:pPr>
        <w:spacing w:before="0" w:after="0" w:line="240" w:lineRule="auto"/>
      </w:pPr>
      <w:rPr>
        <w:b/>
        <w:bCs/>
      </w:rPr>
      <w:tblPr/>
      <w:trPr>
        <w:hidden/>
      </w:trPr>
      <w:tcPr>
        <w:tcBorders>
          <w:top w:val="single" w:sz="8" w:space="0" w:color="F07F09" w:themeColor="accent1"/>
          <w:left w:val="nil"/>
          <w:bottom w:val="single" w:sz="8" w:space="0" w:color="F07F09"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CDFC0" w:themeFill="accent1" w:themeFillTint="3F"/>
      </w:tcPr>
    </w:tblStylePr>
    <w:tblStylePr w:type="band1Horz">
      <w:tblPr/>
      <w:trPr>
        <w:hidden/>
      </w:trPr>
      <w:tcPr>
        <w:tcBorders>
          <w:left w:val="nil"/>
          <w:right w:val="nil"/>
          <w:insideH w:val="nil"/>
          <w:insideV w:val="nil"/>
        </w:tcBorders>
        <w:shd w:val="clear" w:color="auto" w:fill="FCDFC0"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761E28" w:themeColor="accent2" w:themeShade="BF"/>
    </w:rPr>
    <w:tblPr>
      <w:tblStyleRowBandSize w:val="1"/>
      <w:tblStyleColBandSize w:val="1"/>
      <w:tblBorders>
        <w:top w:val="single" w:sz="8" w:space="0" w:color="9F2936" w:themeColor="accent2"/>
        <w:bottom w:val="single" w:sz="8" w:space="0" w:color="9F2936" w:themeColor="accent2"/>
      </w:tblBorders>
    </w:tblPr>
    <w:trPr>
      <w:hidden/>
    </w:trPr>
    <w:tblStylePr w:type="firstRow">
      <w:pPr>
        <w:spacing w:before="0" w:after="0" w:line="240" w:lineRule="auto"/>
      </w:pPr>
      <w:rPr>
        <w:b/>
        <w:bCs/>
      </w:rPr>
      <w:tblPr/>
      <w:trPr>
        <w:hidden/>
      </w:trPr>
      <w:tcPr>
        <w:tcBorders>
          <w:top w:val="single" w:sz="8" w:space="0" w:color="9F2936" w:themeColor="accent2"/>
          <w:left w:val="nil"/>
          <w:bottom w:val="single" w:sz="8" w:space="0" w:color="9F2936" w:themeColor="accent2"/>
          <w:right w:val="nil"/>
          <w:insideH w:val="nil"/>
          <w:insideV w:val="nil"/>
        </w:tcBorders>
      </w:tcPr>
    </w:tblStylePr>
    <w:tblStylePr w:type="lastRow">
      <w:pPr>
        <w:spacing w:before="0" w:after="0" w:line="240" w:lineRule="auto"/>
      </w:pPr>
      <w:rPr>
        <w:b/>
        <w:bCs/>
      </w:rPr>
      <w:tblPr/>
      <w:trPr>
        <w:hidden/>
      </w:trPr>
      <w:tcPr>
        <w:tcBorders>
          <w:top w:val="single" w:sz="8" w:space="0" w:color="9F2936" w:themeColor="accent2"/>
          <w:left w:val="nil"/>
          <w:bottom w:val="single" w:sz="8" w:space="0" w:color="9F2936"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C2C6" w:themeFill="accent2" w:themeFillTint="3F"/>
      </w:tcPr>
    </w:tblStylePr>
    <w:tblStylePr w:type="band1Horz">
      <w:tblPr/>
      <w:trPr>
        <w:hidden/>
      </w:trPr>
      <w:tcPr>
        <w:tcBorders>
          <w:left w:val="nil"/>
          <w:right w:val="nil"/>
          <w:insideH w:val="nil"/>
          <w:insideV w:val="nil"/>
        </w:tcBorders>
        <w:shd w:val="clear" w:color="auto" w:fill="EFC2C6"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14415C" w:themeColor="accent3" w:themeShade="BF"/>
    </w:rPr>
    <w:tblPr>
      <w:tblStyleRowBandSize w:val="1"/>
      <w:tblStyleColBandSize w:val="1"/>
      <w:tblBorders>
        <w:top w:val="single" w:sz="8" w:space="0" w:color="1B587C" w:themeColor="accent3"/>
        <w:bottom w:val="single" w:sz="8" w:space="0" w:color="1B587C" w:themeColor="accent3"/>
      </w:tblBorders>
    </w:tblPr>
    <w:trPr>
      <w:hidden/>
    </w:trPr>
    <w:tblStylePr w:type="firstRow">
      <w:pPr>
        <w:spacing w:before="0" w:after="0" w:line="240" w:lineRule="auto"/>
      </w:pPr>
      <w:rPr>
        <w:b/>
        <w:bCs/>
      </w:rPr>
      <w:tblPr/>
      <w:trPr>
        <w:hidden/>
      </w:trPr>
      <w:tcPr>
        <w:tcBorders>
          <w:top w:val="single" w:sz="8" w:space="0" w:color="1B587C" w:themeColor="accent3"/>
          <w:left w:val="nil"/>
          <w:bottom w:val="single" w:sz="8" w:space="0" w:color="1B587C" w:themeColor="accent3"/>
          <w:right w:val="nil"/>
          <w:insideH w:val="nil"/>
          <w:insideV w:val="nil"/>
        </w:tcBorders>
      </w:tcPr>
    </w:tblStylePr>
    <w:tblStylePr w:type="lastRow">
      <w:pPr>
        <w:spacing w:before="0" w:after="0" w:line="240" w:lineRule="auto"/>
      </w:pPr>
      <w:rPr>
        <w:b/>
        <w:bCs/>
      </w:rPr>
      <w:tblPr/>
      <w:trPr>
        <w:hidden/>
      </w:trPr>
      <w:tcPr>
        <w:tcBorders>
          <w:top w:val="single" w:sz="8" w:space="0" w:color="1B587C" w:themeColor="accent3"/>
          <w:left w:val="nil"/>
          <w:bottom w:val="single" w:sz="8" w:space="0" w:color="1B587C"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B5D9EF" w:themeFill="accent3" w:themeFillTint="3F"/>
      </w:tcPr>
    </w:tblStylePr>
    <w:tblStylePr w:type="band1Horz">
      <w:tblPr/>
      <w:trPr>
        <w:hidden/>
      </w:trPr>
      <w:tcPr>
        <w:tcBorders>
          <w:left w:val="nil"/>
          <w:right w:val="nil"/>
          <w:insideH w:val="nil"/>
          <w:insideV w:val="nil"/>
        </w:tcBorders>
        <w:shd w:val="clear" w:color="auto" w:fill="B5D9EF"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3A6331" w:themeColor="accent4" w:themeShade="BF"/>
    </w:rPr>
    <w:tblPr>
      <w:tblStyleRowBandSize w:val="1"/>
      <w:tblStyleColBandSize w:val="1"/>
      <w:tblBorders>
        <w:top w:val="single" w:sz="8" w:space="0" w:color="4E8542" w:themeColor="accent4"/>
        <w:bottom w:val="single" w:sz="8" w:space="0" w:color="4E8542" w:themeColor="accent4"/>
      </w:tblBorders>
    </w:tblPr>
    <w:trPr>
      <w:hidden/>
    </w:trPr>
    <w:tblStylePr w:type="firstRow">
      <w:pPr>
        <w:spacing w:before="0" w:after="0" w:line="240" w:lineRule="auto"/>
      </w:pPr>
      <w:rPr>
        <w:b/>
        <w:bCs/>
      </w:rPr>
      <w:tblPr/>
      <w:trPr>
        <w:hidden/>
      </w:trPr>
      <w:tcPr>
        <w:tcBorders>
          <w:top w:val="single" w:sz="8" w:space="0" w:color="4E8542" w:themeColor="accent4"/>
          <w:left w:val="nil"/>
          <w:bottom w:val="single" w:sz="8" w:space="0" w:color="4E854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4E8542" w:themeColor="accent4"/>
          <w:left w:val="nil"/>
          <w:bottom w:val="single" w:sz="8" w:space="0" w:color="4E854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0E5CB" w:themeFill="accent4" w:themeFillTint="3F"/>
      </w:tcPr>
    </w:tblStylePr>
    <w:tblStylePr w:type="band1Horz">
      <w:tblPr/>
      <w:trPr>
        <w:hidden/>
      </w:trPr>
      <w:tcPr>
        <w:tcBorders>
          <w:left w:val="nil"/>
          <w:right w:val="nil"/>
          <w:insideH w:val="nil"/>
          <w:insideV w:val="nil"/>
        </w:tcBorders>
        <w:shd w:val="clear" w:color="auto" w:fill="D0E5CB"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473659" w:themeColor="accent5" w:themeShade="BF"/>
    </w:rPr>
    <w:tblPr>
      <w:tblStyleRowBandSize w:val="1"/>
      <w:tblStyleColBandSize w:val="1"/>
      <w:tblBorders>
        <w:top w:val="single" w:sz="8" w:space="0" w:color="604878" w:themeColor="accent5"/>
        <w:bottom w:val="single" w:sz="8" w:space="0" w:color="604878" w:themeColor="accent5"/>
      </w:tblBorders>
    </w:tblPr>
    <w:trPr>
      <w:hidden/>
    </w:trPr>
    <w:tblStylePr w:type="firstRow">
      <w:pPr>
        <w:spacing w:before="0" w:after="0" w:line="240" w:lineRule="auto"/>
      </w:pPr>
      <w:rPr>
        <w:b/>
        <w:bCs/>
      </w:rPr>
      <w:tblPr/>
      <w:trPr>
        <w:hidden/>
      </w:trPr>
      <w:tcPr>
        <w:tcBorders>
          <w:top w:val="single" w:sz="8" w:space="0" w:color="604878" w:themeColor="accent5"/>
          <w:left w:val="nil"/>
          <w:bottom w:val="single" w:sz="8" w:space="0" w:color="604878" w:themeColor="accent5"/>
          <w:right w:val="nil"/>
          <w:insideH w:val="nil"/>
          <w:insideV w:val="nil"/>
        </w:tcBorders>
      </w:tcPr>
    </w:tblStylePr>
    <w:tblStylePr w:type="lastRow">
      <w:pPr>
        <w:spacing w:before="0" w:after="0" w:line="240" w:lineRule="auto"/>
      </w:pPr>
      <w:rPr>
        <w:b/>
        <w:bCs/>
      </w:rPr>
      <w:tblPr/>
      <w:trPr>
        <w:hidden/>
      </w:trPr>
      <w:tcPr>
        <w:tcBorders>
          <w:top w:val="single" w:sz="8" w:space="0" w:color="604878" w:themeColor="accent5"/>
          <w:left w:val="nil"/>
          <w:bottom w:val="single" w:sz="8" w:space="0" w:color="604878"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7CDE1" w:themeFill="accent5" w:themeFillTint="3F"/>
      </w:tcPr>
    </w:tblStylePr>
    <w:tblStylePr w:type="band1Horz">
      <w:tblPr/>
      <w:trPr>
        <w:hidden/>
      </w:trPr>
      <w:tcPr>
        <w:tcBorders>
          <w:left w:val="nil"/>
          <w:right w:val="nil"/>
          <w:insideH w:val="nil"/>
          <w:insideV w:val="nil"/>
        </w:tcBorders>
        <w:shd w:val="clear" w:color="auto" w:fill="D7CDE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997339" w:themeColor="accent6" w:themeShade="BF"/>
    </w:rPr>
    <w:tblPr>
      <w:tblStyleRowBandSize w:val="1"/>
      <w:tblStyleColBandSize w:val="1"/>
      <w:tblBorders>
        <w:top w:val="single" w:sz="8" w:space="0" w:color="C19859" w:themeColor="accent6"/>
        <w:bottom w:val="single" w:sz="8" w:space="0" w:color="C19859" w:themeColor="accent6"/>
      </w:tblBorders>
    </w:tblPr>
    <w:trPr>
      <w:hidden/>
    </w:trPr>
    <w:tblStylePr w:type="firstRow">
      <w:pPr>
        <w:spacing w:before="0" w:after="0" w:line="240" w:lineRule="auto"/>
      </w:pPr>
      <w:rPr>
        <w:b/>
        <w:bCs/>
      </w:rPr>
      <w:tblPr/>
      <w:trPr>
        <w:hidden/>
      </w:trPr>
      <w:tcPr>
        <w:tcBorders>
          <w:top w:val="single" w:sz="8" w:space="0" w:color="C19859" w:themeColor="accent6"/>
          <w:left w:val="nil"/>
          <w:bottom w:val="single" w:sz="8" w:space="0" w:color="C19859" w:themeColor="accent6"/>
          <w:right w:val="nil"/>
          <w:insideH w:val="nil"/>
          <w:insideV w:val="nil"/>
        </w:tcBorders>
      </w:tcPr>
    </w:tblStylePr>
    <w:tblStylePr w:type="lastRow">
      <w:pPr>
        <w:spacing w:before="0" w:after="0" w:line="240" w:lineRule="auto"/>
      </w:pPr>
      <w:rPr>
        <w:b/>
        <w:bCs/>
      </w:rPr>
      <w:tblPr/>
      <w:trPr>
        <w:hidden/>
      </w:trPr>
      <w:tcPr>
        <w:tcBorders>
          <w:top w:val="single" w:sz="8" w:space="0" w:color="C19859" w:themeColor="accent6"/>
          <w:left w:val="nil"/>
          <w:bottom w:val="single" w:sz="8" w:space="0" w:color="C19859"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E5D6" w:themeFill="accent6" w:themeFillTint="3F"/>
      </w:tcPr>
    </w:tblStylePr>
    <w:tblStylePr w:type="band1Horz">
      <w:tblPr/>
      <w:trPr>
        <w:hidden/>
      </w:trPr>
      <w:tcPr>
        <w:tcBorders>
          <w:left w:val="nil"/>
          <w:right w:val="nil"/>
          <w:insideH w:val="nil"/>
          <w:insideV w:val="nil"/>
        </w:tcBorders>
        <w:shd w:val="clear" w:color="auto" w:fill="EFE5D6"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9B268" w:themeColor="accent1" w:themeTint="99"/>
        </w:tcBorders>
      </w:tcPr>
    </w:tblStylePr>
    <w:tblStylePr w:type="lastRow">
      <w:rPr>
        <w:b/>
        <w:bCs/>
      </w:rPr>
      <w:tblPr/>
      <w:trPr>
        <w:hidden/>
      </w:trPr>
      <w:tcPr>
        <w:tcBorders>
          <w:top w:val="sing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86B77" w:themeColor="accent2" w:themeTint="99"/>
        </w:tcBorders>
      </w:tcPr>
    </w:tblStylePr>
    <w:tblStylePr w:type="lastRow">
      <w:rPr>
        <w:b/>
        <w:bCs/>
      </w:rPr>
      <w:tblPr/>
      <w:trPr>
        <w:hidden/>
      </w:trPr>
      <w:tcPr>
        <w:tcBorders>
          <w:top w:val="single" w:sz="4" w:space="0" w:color="D86B77" w:themeColor="accent2" w:themeTint="99"/>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4DA4D8" w:themeColor="accent3" w:themeTint="99"/>
        </w:tcBorders>
      </w:tcPr>
    </w:tblStylePr>
    <w:tblStylePr w:type="lastRow">
      <w:rPr>
        <w:b/>
        <w:bCs/>
      </w:rPr>
      <w:tblPr/>
      <w:trPr>
        <w:hidden/>
      </w:trPr>
      <w:tcPr>
        <w:tcBorders>
          <w:top w:val="single" w:sz="4" w:space="0" w:color="4DA4D8" w:themeColor="accent3" w:themeTint="99"/>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8DC182" w:themeColor="accent4" w:themeTint="99"/>
        </w:tcBorders>
      </w:tcPr>
    </w:tblStylePr>
    <w:tblStylePr w:type="lastRow">
      <w:rPr>
        <w:b/>
        <w:bCs/>
      </w:rPr>
      <w:tblPr/>
      <w:trPr>
        <w:hidden/>
      </w:trPr>
      <w:tcPr>
        <w:tcBorders>
          <w:top w:val="single" w:sz="4" w:space="0" w:color="8DC182" w:themeColor="accent4" w:themeTint="99"/>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F87B7" w:themeColor="accent5" w:themeTint="99"/>
        </w:tcBorders>
      </w:tcPr>
    </w:tblStylePr>
    <w:tblStylePr w:type="lastRow">
      <w:rPr>
        <w:b/>
        <w:bCs/>
      </w:rPr>
      <w:tblPr/>
      <w:trPr>
        <w:hidden/>
      </w:trPr>
      <w:tcPr>
        <w:tcBorders>
          <w:top w:val="single" w:sz="4" w:space="0" w:color="9F87B7" w:themeColor="accent5" w:themeTint="99"/>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C19B" w:themeColor="accent6" w:themeTint="99"/>
        </w:tcBorders>
      </w:tcPr>
    </w:tblStylePr>
    <w:tblStylePr w:type="lastRow">
      <w:rPr>
        <w:b/>
        <w:bCs/>
      </w:rPr>
      <w:tblPr/>
      <w:trPr>
        <w:hidden/>
      </w:trPr>
      <w:tcPr>
        <w:tcBorders>
          <w:top w:val="single" w:sz="4" w:space="0" w:color="D9C19B" w:themeColor="accent6" w:themeTint="99"/>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F9B268" w:themeColor="accent1" w:themeTint="99"/>
        <w:bottom w:val="single" w:sz="4" w:space="0" w:color="F9B268" w:themeColor="accent1" w:themeTint="99"/>
        <w:insideH w:val="single" w:sz="4" w:space="0" w:color="F9B268"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86B77" w:themeColor="accent2" w:themeTint="99"/>
        <w:bottom w:val="single" w:sz="4" w:space="0" w:color="D86B77" w:themeColor="accent2" w:themeTint="99"/>
        <w:insideH w:val="single" w:sz="4" w:space="0" w:color="D86B77"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4DA4D8" w:themeColor="accent3" w:themeTint="99"/>
        <w:bottom w:val="single" w:sz="4" w:space="0" w:color="4DA4D8" w:themeColor="accent3" w:themeTint="99"/>
        <w:insideH w:val="single" w:sz="4" w:space="0" w:color="4DA4D8"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8DC182" w:themeColor="accent4" w:themeTint="99"/>
        <w:bottom w:val="single" w:sz="4" w:space="0" w:color="8DC182" w:themeColor="accent4" w:themeTint="99"/>
        <w:insideH w:val="single" w:sz="4" w:space="0" w:color="8DC182"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F87B7" w:themeColor="accent5" w:themeTint="99"/>
        <w:bottom w:val="single" w:sz="4" w:space="0" w:color="9F87B7" w:themeColor="accent5" w:themeTint="99"/>
        <w:insideH w:val="single" w:sz="4" w:space="0" w:color="9F87B7"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D9C19B" w:themeColor="accent6" w:themeTint="99"/>
        <w:bottom w:val="single" w:sz="4" w:space="0" w:color="D9C19B" w:themeColor="accent6" w:themeTint="99"/>
        <w:insideH w:val="single" w:sz="4" w:space="0" w:color="D9C19B"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F07F09" w:themeColor="accent1"/>
        <w:left w:val="single" w:sz="4" w:space="0" w:color="F07F09" w:themeColor="accent1"/>
        <w:bottom w:val="single" w:sz="4" w:space="0" w:color="F07F09" w:themeColor="accent1"/>
        <w:right w:val="single" w:sz="4" w:space="0" w:color="F07F09" w:themeColor="accent1"/>
      </w:tblBorders>
    </w:tblPr>
    <w:trPr>
      <w:hidden/>
    </w:trPr>
    <w:tblStylePr w:type="firstRow">
      <w:rPr>
        <w:b/>
        <w:bCs/>
        <w:color w:val="FFFFFF" w:themeColor="background1"/>
      </w:rPr>
      <w:tblPr/>
      <w:trPr>
        <w:hidden/>
      </w:trPr>
      <w:tcPr>
        <w:shd w:val="clear" w:color="auto" w:fill="F07F09" w:themeFill="accent1"/>
      </w:tcPr>
    </w:tblStylePr>
    <w:tblStylePr w:type="lastRow">
      <w:rPr>
        <w:b/>
        <w:bCs/>
      </w:rPr>
      <w:tblPr/>
      <w:trPr>
        <w:hidden/>
      </w:trPr>
      <w:tcPr>
        <w:tcBorders>
          <w:top w:val="double" w:sz="4" w:space="0" w:color="F07F09"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07F09" w:themeColor="accent1"/>
          <w:right w:val="single" w:sz="4" w:space="0" w:color="F07F09" w:themeColor="accent1"/>
        </w:tcBorders>
      </w:tcPr>
    </w:tblStylePr>
    <w:tblStylePr w:type="band1Horz">
      <w:tblPr/>
      <w:trPr>
        <w:hidden/>
      </w:trPr>
      <w:tcPr>
        <w:tcBorders>
          <w:top w:val="single" w:sz="4" w:space="0" w:color="F07F09" w:themeColor="accent1"/>
          <w:bottom w:val="single" w:sz="4" w:space="0" w:color="F07F09"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07F09" w:themeColor="accent1"/>
          <w:left w:val="nil"/>
        </w:tcBorders>
      </w:tcPr>
    </w:tblStylePr>
    <w:tblStylePr w:type="swCell">
      <w:tblPr/>
      <w:trPr>
        <w:hidden/>
      </w:trPr>
      <w:tcPr>
        <w:tcBorders>
          <w:top w:val="double" w:sz="4" w:space="0" w:color="F07F09"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9F2936" w:themeColor="accent2"/>
        <w:left w:val="single" w:sz="4" w:space="0" w:color="9F2936" w:themeColor="accent2"/>
        <w:bottom w:val="single" w:sz="4" w:space="0" w:color="9F2936" w:themeColor="accent2"/>
        <w:right w:val="single" w:sz="4" w:space="0" w:color="9F2936" w:themeColor="accent2"/>
      </w:tblBorders>
    </w:tblPr>
    <w:trPr>
      <w:hidden/>
    </w:trPr>
    <w:tblStylePr w:type="firstRow">
      <w:rPr>
        <w:b/>
        <w:bCs/>
        <w:color w:val="FFFFFF" w:themeColor="background1"/>
      </w:rPr>
      <w:tblPr/>
      <w:trPr>
        <w:hidden/>
      </w:trPr>
      <w:tcPr>
        <w:shd w:val="clear" w:color="auto" w:fill="9F2936" w:themeFill="accent2"/>
      </w:tcPr>
    </w:tblStylePr>
    <w:tblStylePr w:type="lastRow">
      <w:rPr>
        <w:b/>
        <w:bCs/>
      </w:rPr>
      <w:tblPr/>
      <w:trPr>
        <w:hidden/>
      </w:trPr>
      <w:tcPr>
        <w:tcBorders>
          <w:top w:val="double" w:sz="4" w:space="0" w:color="9F2936"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F2936" w:themeColor="accent2"/>
          <w:right w:val="single" w:sz="4" w:space="0" w:color="9F2936" w:themeColor="accent2"/>
        </w:tcBorders>
      </w:tcPr>
    </w:tblStylePr>
    <w:tblStylePr w:type="band1Horz">
      <w:tblPr/>
      <w:trPr>
        <w:hidden/>
      </w:trPr>
      <w:tcPr>
        <w:tcBorders>
          <w:top w:val="single" w:sz="4" w:space="0" w:color="9F2936" w:themeColor="accent2"/>
          <w:bottom w:val="single" w:sz="4" w:space="0" w:color="9F2936"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F2936" w:themeColor="accent2"/>
          <w:left w:val="nil"/>
        </w:tcBorders>
      </w:tcPr>
    </w:tblStylePr>
    <w:tblStylePr w:type="swCell">
      <w:tblPr/>
      <w:trPr>
        <w:hidden/>
      </w:trPr>
      <w:tcPr>
        <w:tcBorders>
          <w:top w:val="double" w:sz="4" w:space="0" w:color="9F2936"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1B587C" w:themeColor="accent3"/>
        <w:left w:val="single" w:sz="4" w:space="0" w:color="1B587C" w:themeColor="accent3"/>
        <w:bottom w:val="single" w:sz="4" w:space="0" w:color="1B587C" w:themeColor="accent3"/>
        <w:right w:val="single" w:sz="4" w:space="0" w:color="1B587C" w:themeColor="accent3"/>
      </w:tblBorders>
    </w:tblPr>
    <w:trPr>
      <w:hidden/>
    </w:trPr>
    <w:tblStylePr w:type="firstRow">
      <w:rPr>
        <w:b/>
        <w:bCs/>
        <w:color w:val="FFFFFF" w:themeColor="background1"/>
      </w:rPr>
      <w:tblPr/>
      <w:trPr>
        <w:hidden/>
      </w:trPr>
      <w:tcPr>
        <w:shd w:val="clear" w:color="auto" w:fill="1B587C" w:themeFill="accent3"/>
      </w:tcPr>
    </w:tblStylePr>
    <w:tblStylePr w:type="lastRow">
      <w:rPr>
        <w:b/>
        <w:bCs/>
      </w:rPr>
      <w:tblPr/>
      <w:trPr>
        <w:hidden/>
      </w:trPr>
      <w:tcPr>
        <w:tcBorders>
          <w:top w:val="double" w:sz="4" w:space="0" w:color="1B587C"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1B587C" w:themeColor="accent3"/>
          <w:right w:val="single" w:sz="4" w:space="0" w:color="1B587C" w:themeColor="accent3"/>
        </w:tcBorders>
      </w:tcPr>
    </w:tblStylePr>
    <w:tblStylePr w:type="band1Horz">
      <w:tblPr/>
      <w:trPr>
        <w:hidden/>
      </w:trPr>
      <w:tcPr>
        <w:tcBorders>
          <w:top w:val="single" w:sz="4" w:space="0" w:color="1B587C" w:themeColor="accent3"/>
          <w:bottom w:val="single" w:sz="4" w:space="0" w:color="1B587C"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1B587C" w:themeColor="accent3"/>
          <w:left w:val="nil"/>
        </w:tcBorders>
      </w:tcPr>
    </w:tblStylePr>
    <w:tblStylePr w:type="swCell">
      <w:tblPr/>
      <w:trPr>
        <w:hidden/>
      </w:trPr>
      <w:tcPr>
        <w:tcBorders>
          <w:top w:val="double" w:sz="4" w:space="0" w:color="1B587C"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4E8542" w:themeColor="accent4"/>
        <w:left w:val="single" w:sz="4" w:space="0" w:color="4E8542" w:themeColor="accent4"/>
        <w:bottom w:val="single" w:sz="4" w:space="0" w:color="4E8542" w:themeColor="accent4"/>
        <w:right w:val="single" w:sz="4" w:space="0" w:color="4E8542" w:themeColor="accent4"/>
      </w:tblBorders>
    </w:tblPr>
    <w:trPr>
      <w:hidden/>
    </w:trPr>
    <w:tblStylePr w:type="firstRow">
      <w:rPr>
        <w:b/>
        <w:bCs/>
        <w:color w:val="FFFFFF" w:themeColor="background1"/>
      </w:rPr>
      <w:tblPr/>
      <w:trPr>
        <w:hidden/>
      </w:trPr>
      <w:tcPr>
        <w:shd w:val="clear" w:color="auto" w:fill="4E8542" w:themeFill="accent4"/>
      </w:tcPr>
    </w:tblStylePr>
    <w:tblStylePr w:type="lastRow">
      <w:rPr>
        <w:b/>
        <w:bCs/>
      </w:rPr>
      <w:tblPr/>
      <w:trPr>
        <w:hidden/>
      </w:trPr>
      <w:tcPr>
        <w:tcBorders>
          <w:top w:val="double" w:sz="4" w:space="0" w:color="4E854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E8542" w:themeColor="accent4"/>
          <w:right w:val="single" w:sz="4" w:space="0" w:color="4E8542" w:themeColor="accent4"/>
        </w:tcBorders>
      </w:tcPr>
    </w:tblStylePr>
    <w:tblStylePr w:type="band1Horz">
      <w:tblPr/>
      <w:trPr>
        <w:hidden/>
      </w:trPr>
      <w:tcPr>
        <w:tcBorders>
          <w:top w:val="single" w:sz="4" w:space="0" w:color="4E8542" w:themeColor="accent4"/>
          <w:bottom w:val="single" w:sz="4" w:space="0" w:color="4E854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E8542" w:themeColor="accent4"/>
          <w:left w:val="nil"/>
        </w:tcBorders>
      </w:tcPr>
    </w:tblStylePr>
    <w:tblStylePr w:type="swCell">
      <w:tblPr/>
      <w:trPr>
        <w:hidden/>
      </w:trPr>
      <w:tcPr>
        <w:tcBorders>
          <w:top w:val="double" w:sz="4" w:space="0" w:color="4E854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604878" w:themeColor="accent5"/>
        <w:left w:val="single" w:sz="4" w:space="0" w:color="604878" w:themeColor="accent5"/>
        <w:bottom w:val="single" w:sz="4" w:space="0" w:color="604878" w:themeColor="accent5"/>
        <w:right w:val="single" w:sz="4" w:space="0" w:color="604878" w:themeColor="accent5"/>
      </w:tblBorders>
    </w:tblPr>
    <w:trPr>
      <w:hidden/>
    </w:trPr>
    <w:tblStylePr w:type="firstRow">
      <w:rPr>
        <w:b/>
        <w:bCs/>
        <w:color w:val="FFFFFF" w:themeColor="background1"/>
      </w:rPr>
      <w:tblPr/>
      <w:trPr>
        <w:hidden/>
      </w:trPr>
      <w:tcPr>
        <w:shd w:val="clear" w:color="auto" w:fill="604878" w:themeFill="accent5"/>
      </w:tcPr>
    </w:tblStylePr>
    <w:tblStylePr w:type="lastRow">
      <w:rPr>
        <w:b/>
        <w:bCs/>
      </w:rPr>
      <w:tblPr/>
      <w:trPr>
        <w:hidden/>
      </w:trPr>
      <w:tcPr>
        <w:tcBorders>
          <w:top w:val="double" w:sz="4" w:space="0" w:color="604878"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604878" w:themeColor="accent5"/>
          <w:right w:val="single" w:sz="4" w:space="0" w:color="604878" w:themeColor="accent5"/>
        </w:tcBorders>
      </w:tcPr>
    </w:tblStylePr>
    <w:tblStylePr w:type="band1Horz">
      <w:tblPr/>
      <w:trPr>
        <w:hidden/>
      </w:trPr>
      <w:tcPr>
        <w:tcBorders>
          <w:top w:val="single" w:sz="4" w:space="0" w:color="604878" w:themeColor="accent5"/>
          <w:bottom w:val="single" w:sz="4" w:space="0" w:color="604878"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604878" w:themeColor="accent5"/>
          <w:left w:val="nil"/>
        </w:tcBorders>
      </w:tcPr>
    </w:tblStylePr>
    <w:tblStylePr w:type="swCell">
      <w:tblPr/>
      <w:trPr>
        <w:hidden/>
      </w:trPr>
      <w:tcPr>
        <w:tcBorders>
          <w:top w:val="double" w:sz="4" w:space="0" w:color="604878"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C19859" w:themeColor="accent6"/>
        <w:left w:val="single" w:sz="4" w:space="0" w:color="C19859" w:themeColor="accent6"/>
        <w:bottom w:val="single" w:sz="4" w:space="0" w:color="C19859" w:themeColor="accent6"/>
        <w:right w:val="single" w:sz="4" w:space="0" w:color="C19859" w:themeColor="accent6"/>
      </w:tblBorders>
    </w:tblPr>
    <w:trPr>
      <w:hidden/>
    </w:trPr>
    <w:tblStylePr w:type="firstRow">
      <w:rPr>
        <w:b/>
        <w:bCs/>
        <w:color w:val="FFFFFF" w:themeColor="background1"/>
      </w:rPr>
      <w:tblPr/>
      <w:trPr>
        <w:hidden/>
      </w:trPr>
      <w:tcPr>
        <w:shd w:val="clear" w:color="auto" w:fill="C19859" w:themeFill="accent6"/>
      </w:tcPr>
    </w:tblStylePr>
    <w:tblStylePr w:type="lastRow">
      <w:rPr>
        <w:b/>
        <w:bCs/>
      </w:rPr>
      <w:tblPr/>
      <w:trPr>
        <w:hidden/>
      </w:trPr>
      <w:tcPr>
        <w:tcBorders>
          <w:top w:val="double" w:sz="4" w:space="0" w:color="C19859"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19859" w:themeColor="accent6"/>
          <w:right w:val="single" w:sz="4" w:space="0" w:color="C19859" w:themeColor="accent6"/>
        </w:tcBorders>
      </w:tcPr>
    </w:tblStylePr>
    <w:tblStylePr w:type="band1Horz">
      <w:tblPr/>
      <w:trPr>
        <w:hidden/>
      </w:trPr>
      <w:tcPr>
        <w:tcBorders>
          <w:top w:val="single" w:sz="4" w:space="0" w:color="C19859" w:themeColor="accent6"/>
          <w:bottom w:val="single" w:sz="4" w:space="0" w:color="C19859"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19859" w:themeColor="accent6"/>
          <w:left w:val="nil"/>
        </w:tcBorders>
      </w:tcPr>
    </w:tblStylePr>
    <w:tblStylePr w:type="swCell">
      <w:tblPr/>
      <w:trPr>
        <w:hidden/>
      </w:trPr>
      <w:tcPr>
        <w:tcBorders>
          <w:top w:val="double" w:sz="4" w:space="0" w:color="C19859"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tblBorders>
    </w:tblPr>
    <w:trPr>
      <w:hidden/>
    </w:tr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tcBorders>
        <w:shd w:val="clear" w:color="auto" w:fill="F07F09" w:themeFill="accent1"/>
      </w:tcPr>
    </w:tblStylePr>
    <w:tblStylePr w:type="lastRow">
      <w:rPr>
        <w:b/>
        <w:bCs/>
      </w:rPr>
      <w:tblPr/>
      <w:trPr>
        <w:hidden/>
      </w:trPr>
      <w:tcPr>
        <w:tcBorders>
          <w:top w:val="doub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tblBorders>
    </w:tblPr>
    <w:trPr>
      <w:hidden/>
    </w:tr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tcBorders>
        <w:shd w:val="clear" w:color="auto" w:fill="9F2936" w:themeFill="accent2"/>
      </w:tcPr>
    </w:tblStylePr>
    <w:tblStylePr w:type="lastRow">
      <w:rPr>
        <w:b/>
        <w:bCs/>
      </w:rPr>
      <w:tblPr/>
      <w:trPr>
        <w:hidden/>
      </w:trPr>
      <w:tcPr>
        <w:tcBorders>
          <w:top w:val="double" w:sz="4" w:space="0" w:color="D86B77" w:themeColor="accent2" w:themeTint="99"/>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tblBorders>
    </w:tblPr>
    <w:trPr>
      <w:hidden/>
    </w:tr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tcBorders>
        <w:shd w:val="clear" w:color="auto" w:fill="1B587C" w:themeFill="accent3"/>
      </w:tcPr>
    </w:tblStylePr>
    <w:tblStylePr w:type="lastRow">
      <w:rPr>
        <w:b/>
        <w:bCs/>
      </w:rPr>
      <w:tblPr/>
      <w:trPr>
        <w:hidden/>
      </w:trPr>
      <w:tcPr>
        <w:tcBorders>
          <w:top w:val="double" w:sz="4" w:space="0" w:color="4DA4D8" w:themeColor="accent3" w:themeTint="99"/>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tblBorders>
    </w:tblPr>
    <w:trPr>
      <w:hidden/>
    </w:tr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tcBorders>
        <w:shd w:val="clear" w:color="auto" w:fill="4E8542" w:themeFill="accent4"/>
      </w:tcPr>
    </w:tblStylePr>
    <w:tblStylePr w:type="lastRow">
      <w:rPr>
        <w:b/>
        <w:bCs/>
      </w:rPr>
      <w:tblPr/>
      <w:trPr>
        <w:hidden/>
      </w:trPr>
      <w:tcPr>
        <w:tcBorders>
          <w:top w:val="double" w:sz="4" w:space="0" w:color="8DC182" w:themeColor="accent4" w:themeTint="99"/>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tblBorders>
    </w:tblPr>
    <w:trPr>
      <w:hidden/>
    </w:tr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tcBorders>
        <w:shd w:val="clear" w:color="auto" w:fill="604878" w:themeFill="accent5"/>
      </w:tcPr>
    </w:tblStylePr>
    <w:tblStylePr w:type="lastRow">
      <w:rPr>
        <w:b/>
        <w:bCs/>
      </w:rPr>
      <w:tblPr/>
      <w:trPr>
        <w:hidden/>
      </w:trPr>
      <w:tcPr>
        <w:tcBorders>
          <w:top w:val="double" w:sz="4" w:space="0" w:color="9F87B7" w:themeColor="accent5" w:themeTint="99"/>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tblBorders>
    </w:tblPr>
    <w:trPr>
      <w:hidden/>
    </w:tr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tcBorders>
        <w:shd w:val="clear" w:color="auto" w:fill="C19859" w:themeFill="accent6"/>
      </w:tcPr>
    </w:tblStylePr>
    <w:tblStylePr w:type="lastRow">
      <w:rPr>
        <w:b/>
        <w:bCs/>
      </w:rPr>
      <w:tblPr/>
      <w:trPr>
        <w:hidden/>
      </w:trPr>
      <w:tcPr>
        <w:tcBorders>
          <w:top w:val="double" w:sz="4" w:space="0" w:color="D9C19B" w:themeColor="accent6" w:themeTint="99"/>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F07F09" w:themeColor="accent1"/>
        <w:left w:val="single" w:sz="24" w:space="0" w:color="F07F09" w:themeColor="accent1"/>
        <w:bottom w:val="single" w:sz="24" w:space="0" w:color="F07F09" w:themeColor="accent1"/>
        <w:right w:val="single" w:sz="24" w:space="0" w:color="F07F09" w:themeColor="accent1"/>
      </w:tblBorders>
    </w:tblPr>
    <w:trPr>
      <w:hidden/>
    </w:trPr>
    <w:tcPr>
      <w:shd w:val="clear" w:color="auto" w:fill="F07F09"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9F2936" w:themeColor="accent2"/>
        <w:left w:val="single" w:sz="24" w:space="0" w:color="9F2936" w:themeColor="accent2"/>
        <w:bottom w:val="single" w:sz="24" w:space="0" w:color="9F2936" w:themeColor="accent2"/>
        <w:right w:val="single" w:sz="24" w:space="0" w:color="9F2936" w:themeColor="accent2"/>
      </w:tblBorders>
    </w:tblPr>
    <w:trPr>
      <w:hidden/>
    </w:trPr>
    <w:tcPr>
      <w:shd w:val="clear" w:color="auto" w:fill="9F2936"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1B587C" w:themeColor="accent3"/>
        <w:left w:val="single" w:sz="24" w:space="0" w:color="1B587C" w:themeColor="accent3"/>
        <w:bottom w:val="single" w:sz="24" w:space="0" w:color="1B587C" w:themeColor="accent3"/>
        <w:right w:val="single" w:sz="24" w:space="0" w:color="1B587C" w:themeColor="accent3"/>
      </w:tblBorders>
    </w:tblPr>
    <w:trPr>
      <w:hidden/>
    </w:trPr>
    <w:tcPr>
      <w:shd w:val="clear" w:color="auto" w:fill="1B587C"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4E8542" w:themeColor="accent4"/>
        <w:left w:val="single" w:sz="24" w:space="0" w:color="4E8542" w:themeColor="accent4"/>
        <w:bottom w:val="single" w:sz="24" w:space="0" w:color="4E8542" w:themeColor="accent4"/>
        <w:right w:val="single" w:sz="24" w:space="0" w:color="4E8542" w:themeColor="accent4"/>
      </w:tblBorders>
    </w:tblPr>
    <w:trPr>
      <w:hidden/>
    </w:trPr>
    <w:tcPr>
      <w:shd w:val="clear" w:color="auto" w:fill="4E854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604878" w:themeColor="accent5"/>
        <w:left w:val="single" w:sz="24" w:space="0" w:color="604878" w:themeColor="accent5"/>
        <w:bottom w:val="single" w:sz="24" w:space="0" w:color="604878" w:themeColor="accent5"/>
        <w:right w:val="single" w:sz="24" w:space="0" w:color="604878" w:themeColor="accent5"/>
      </w:tblBorders>
    </w:tblPr>
    <w:trPr>
      <w:hidden/>
    </w:trPr>
    <w:tcPr>
      <w:shd w:val="clear" w:color="auto" w:fill="604878"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C19859" w:themeColor="accent6"/>
        <w:left w:val="single" w:sz="24" w:space="0" w:color="C19859" w:themeColor="accent6"/>
        <w:bottom w:val="single" w:sz="24" w:space="0" w:color="C19859" w:themeColor="accent6"/>
        <w:right w:val="single" w:sz="24" w:space="0" w:color="C19859" w:themeColor="accent6"/>
      </w:tblBorders>
    </w:tblPr>
    <w:trPr>
      <w:hidden/>
    </w:trPr>
    <w:tcPr>
      <w:shd w:val="clear" w:color="auto" w:fill="C19859"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B35E06" w:themeColor="accent1" w:themeShade="BF"/>
    </w:rPr>
    <w:tblPr>
      <w:tblStyleRowBandSize w:val="1"/>
      <w:tblStyleColBandSize w:val="1"/>
      <w:tblBorders>
        <w:top w:val="single" w:sz="4" w:space="0" w:color="F07F09" w:themeColor="accent1"/>
        <w:bottom w:val="single" w:sz="4" w:space="0" w:color="F07F09" w:themeColor="accent1"/>
      </w:tblBorders>
    </w:tblPr>
    <w:trPr>
      <w:hidden/>
    </w:trPr>
    <w:tblStylePr w:type="firstRow">
      <w:rPr>
        <w:b/>
        <w:bCs/>
      </w:rPr>
      <w:tblPr/>
      <w:trPr>
        <w:hidden/>
      </w:trPr>
      <w:tcPr>
        <w:tcBorders>
          <w:bottom w:val="single" w:sz="4" w:space="0" w:color="F07F09" w:themeColor="accent1"/>
        </w:tcBorders>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761E28" w:themeColor="accent2" w:themeShade="BF"/>
    </w:rPr>
    <w:tblPr>
      <w:tblStyleRowBandSize w:val="1"/>
      <w:tblStyleColBandSize w:val="1"/>
      <w:tblBorders>
        <w:top w:val="single" w:sz="4" w:space="0" w:color="9F2936" w:themeColor="accent2"/>
        <w:bottom w:val="single" w:sz="4" w:space="0" w:color="9F2936" w:themeColor="accent2"/>
      </w:tblBorders>
    </w:tblPr>
    <w:trPr>
      <w:hidden/>
    </w:trPr>
    <w:tblStylePr w:type="firstRow">
      <w:rPr>
        <w:b/>
        <w:bCs/>
      </w:rPr>
      <w:tblPr/>
      <w:trPr>
        <w:hidden/>
      </w:trPr>
      <w:tcPr>
        <w:tcBorders>
          <w:bottom w:val="single" w:sz="4" w:space="0" w:color="9F2936" w:themeColor="accent2"/>
        </w:tcBorders>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14415C" w:themeColor="accent3" w:themeShade="BF"/>
    </w:rPr>
    <w:tblPr>
      <w:tblStyleRowBandSize w:val="1"/>
      <w:tblStyleColBandSize w:val="1"/>
      <w:tblBorders>
        <w:top w:val="single" w:sz="4" w:space="0" w:color="1B587C" w:themeColor="accent3"/>
        <w:bottom w:val="single" w:sz="4" w:space="0" w:color="1B587C" w:themeColor="accent3"/>
      </w:tblBorders>
    </w:tblPr>
    <w:trPr>
      <w:hidden/>
    </w:trPr>
    <w:tblStylePr w:type="firstRow">
      <w:rPr>
        <w:b/>
        <w:bCs/>
      </w:rPr>
      <w:tblPr/>
      <w:trPr>
        <w:hidden/>
      </w:trPr>
      <w:tcPr>
        <w:tcBorders>
          <w:bottom w:val="single" w:sz="4" w:space="0" w:color="1B587C" w:themeColor="accent3"/>
        </w:tcBorders>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3A6331" w:themeColor="accent4" w:themeShade="BF"/>
    </w:rPr>
    <w:tblPr>
      <w:tblStyleRowBandSize w:val="1"/>
      <w:tblStyleColBandSize w:val="1"/>
      <w:tblBorders>
        <w:top w:val="single" w:sz="4" w:space="0" w:color="4E8542" w:themeColor="accent4"/>
        <w:bottom w:val="single" w:sz="4" w:space="0" w:color="4E8542" w:themeColor="accent4"/>
      </w:tblBorders>
    </w:tblPr>
    <w:trPr>
      <w:hidden/>
    </w:trPr>
    <w:tblStylePr w:type="firstRow">
      <w:rPr>
        <w:b/>
        <w:bCs/>
      </w:rPr>
      <w:tblPr/>
      <w:trPr>
        <w:hidden/>
      </w:trPr>
      <w:tcPr>
        <w:tcBorders>
          <w:bottom w:val="single" w:sz="4" w:space="0" w:color="4E8542" w:themeColor="accent4"/>
        </w:tcBorders>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473659" w:themeColor="accent5" w:themeShade="BF"/>
    </w:rPr>
    <w:tblPr>
      <w:tblStyleRowBandSize w:val="1"/>
      <w:tblStyleColBandSize w:val="1"/>
      <w:tblBorders>
        <w:top w:val="single" w:sz="4" w:space="0" w:color="604878" w:themeColor="accent5"/>
        <w:bottom w:val="single" w:sz="4" w:space="0" w:color="604878" w:themeColor="accent5"/>
      </w:tblBorders>
    </w:tblPr>
    <w:trPr>
      <w:hidden/>
    </w:trPr>
    <w:tblStylePr w:type="firstRow">
      <w:rPr>
        <w:b/>
        <w:bCs/>
      </w:rPr>
      <w:tblPr/>
      <w:trPr>
        <w:hidden/>
      </w:trPr>
      <w:tcPr>
        <w:tcBorders>
          <w:bottom w:val="single" w:sz="4" w:space="0" w:color="604878" w:themeColor="accent5"/>
        </w:tcBorders>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997339" w:themeColor="accent6" w:themeShade="BF"/>
    </w:rPr>
    <w:tblPr>
      <w:tblStyleRowBandSize w:val="1"/>
      <w:tblStyleColBandSize w:val="1"/>
      <w:tblBorders>
        <w:top w:val="single" w:sz="4" w:space="0" w:color="C19859" w:themeColor="accent6"/>
        <w:bottom w:val="single" w:sz="4" w:space="0" w:color="C19859" w:themeColor="accent6"/>
      </w:tblBorders>
    </w:tblPr>
    <w:trPr>
      <w:hidden/>
    </w:trPr>
    <w:tblStylePr w:type="firstRow">
      <w:rPr>
        <w:b/>
        <w:bCs/>
      </w:rPr>
      <w:tblPr/>
      <w:trPr>
        <w:hidden/>
      </w:trPr>
      <w:tcPr>
        <w:tcBorders>
          <w:bottom w:val="single" w:sz="4" w:space="0" w:color="C19859" w:themeColor="accent6"/>
        </w:tcBorders>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B35E06"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07F09"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07F09"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07F09"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07F09" w:themeColor="accent1"/>
        </w:tcBorders>
        <w:shd w:val="clear" w:color="auto" w:fill="FFFFFF" w:themeFill="background1"/>
      </w:tc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761E28"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F2936"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F2936"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F2936"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F2936" w:themeColor="accent2"/>
        </w:tcBorders>
        <w:shd w:val="clear" w:color="auto" w:fill="FFFFFF" w:themeFill="background1"/>
      </w:tc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14415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1B587C"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1B587C"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1B587C"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1B587C" w:themeColor="accent3"/>
        </w:tcBorders>
        <w:shd w:val="clear" w:color="auto" w:fill="FFFFFF" w:themeFill="background1"/>
      </w:tc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3A6331"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E854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E854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E854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E8542" w:themeColor="accent4"/>
        </w:tcBorders>
        <w:shd w:val="clear" w:color="auto" w:fill="FFFFFF" w:themeFill="background1"/>
      </w:tc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473659"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604878"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604878"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604878"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604878" w:themeColor="accent5"/>
        </w:tcBorders>
        <w:shd w:val="clear" w:color="auto" w:fill="FFFFFF" w:themeFill="background1"/>
      </w:tc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997339"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19859"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1985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19859"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19859" w:themeColor="accent6"/>
        </w:tcBorders>
        <w:shd w:val="clear" w:color="auto" w:fill="FFFFFF" w:themeFill="background1"/>
      </w:tc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single" w:sz="8" w:space="0" w:color="F89E42" w:themeColor="accent1" w:themeTint="BF"/>
        <w:insideV w:val="single" w:sz="8" w:space="0" w:color="F89E42" w:themeColor="accent1" w:themeTint="BF"/>
      </w:tblBorders>
    </w:tblPr>
    <w:trPr>
      <w:hidden/>
    </w:trPr>
    <w:tcPr>
      <w:shd w:val="clear" w:color="auto" w:fill="FCDFC0" w:themeFill="accent1" w:themeFillTint="3F"/>
    </w:tcPr>
    <w:tblStylePr w:type="firstRow">
      <w:rPr>
        <w:b/>
        <w:bCs/>
      </w:rPr>
    </w:tblStylePr>
    <w:tblStylePr w:type="lastRow">
      <w:rPr>
        <w:b/>
        <w:bCs/>
      </w:rPr>
      <w:tblPr/>
      <w:trPr>
        <w:hidden/>
      </w:trPr>
      <w:tcPr>
        <w:tcBorders>
          <w:top w:val="single" w:sz="18" w:space="0" w:color="F89E42" w:themeColor="accent1" w:themeTint="BF"/>
        </w:tcBorders>
      </w:tcPr>
    </w:tblStylePr>
    <w:tblStylePr w:type="firstCol">
      <w:rPr>
        <w:b/>
        <w:bCs/>
      </w:rPr>
    </w:tblStylePr>
    <w:tblStylePr w:type="lastCol">
      <w:rPr>
        <w:b/>
        <w:bCs/>
      </w:rPr>
    </w:tblStylePr>
    <w:tblStylePr w:type="band1Vert">
      <w:tblPr/>
      <w:trPr>
        <w:hidden/>
      </w:trPr>
      <w:tcPr>
        <w:shd w:val="clear" w:color="auto" w:fill="FABF81" w:themeFill="accent1" w:themeFillTint="7F"/>
      </w:tcPr>
    </w:tblStylePr>
    <w:tblStylePr w:type="band1Horz">
      <w:tblPr/>
      <w:trPr>
        <w:hidden/>
      </w:trPr>
      <w:tcPr>
        <w:shd w:val="clear" w:color="auto" w:fill="FABF81"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single" w:sz="8" w:space="0" w:color="CF4655" w:themeColor="accent2" w:themeTint="BF"/>
        <w:insideV w:val="single" w:sz="8" w:space="0" w:color="CF4655" w:themeColor="accent2" w:themeTint="BF"/>
      </w:tblBorders>
    </w:tblPr>
    <w:trPr>
      <w:hidden/>
    </w:trPr>
    <w:tcPr>
      <w:shd w:val="clear" w:color="auto" w:fill="EFC2C6" w:themeFill="accent2" w:themeFillTint="3F"/>
    </w:tcPr>
    <w:tblStylePr w:type="firstRow">
      <w:rPr>
        <w:b/>
        <w:bCs/>
      </w:rPr>
    </w:tblStylePr>
    <w:tblStylePr w:type="lastRow">
      <w:rPr>
        <w:b/>
        <w:bCs/>
      </w:rPr>
      <w:tblPr/>
      <w:trPr>
        <w:hidden/>
      </w:trPr>
      <w:tcPr>
        <w:tcBorders>
          <w:top w:val="single" w:sz="18" w:space="0" w:color="CF4655" w:themeColor="accent2" w:themeTint="BF"/>
        </w:tcBorders>
      </w:tcPr>
    </w:tblStylePr>
    <w:tblStylePr w:type="firstCol">
      <w:rPr>
        <w:b/>
        <w:bCs/>
      </w:rPr>
    </w:tblStylePr>
    <w:tblStylePr w:type="lastCol">
      <w:rPr>
        <w:b/>
        <w:bCs/>
      </w:rPr>
    </w:tblStylePr>
    <w:tblStylePr w:type="band1Vert">
      <w:tblPr/>
      <w:trPr>
        <w:hidden/>
      </w:trPr>
      <w:tcPr>
        <w:shd w:val="clear" w:color="auto" w:fill="DF848E" w:themeFill="accent2" w:themeFillTint="7F"/>
      </w:tcPr>
    </w:tblStylePr>
    <w:tblStylePr w:type="band1Horz">
      <w:tblPr/>
      <w:trPr>
        <w:hidden/>
      </w:trPr>
      <w:tcPr>
        <w:shd w:val="clear" w:color="auto" w:fill="DF848E"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single" w:sz="8" w:space="0" w:color="2B8CC5" w:themeColor="accent3" w:themeTint="BF"/>
        <w:insideV w:val="single" w:sz="8" w:space="0" w:color="2B8CC5" w:themeColor="accent3" w:themeTint="BF"/>
      </w:tblBorders>
    </w:tblPr>
    <w:trPr>
      <w:hidden/>
    </w:trPr>
    <w:tcPr>
      <w:shd w:val="clear" w:color="auto" w:fill="B5D9EF" w:themeFill="accent3" w:themeFillTint="3F"/>
    </w:tcPr>
    <w:tblStylePr w:type="firstRow">
      <w:rPr>
        <w:b/>
        <w:bCs/>
      </w:rPr>
    </w:tblStylePr>
    <w:tblStylePr w:type="lastRow">
      <w:rPr>
        <w:b/>
        <w:bCs/>
      </w:rPr>
      <w:tblPr/>
      <w:trPr>
        <w:hidden/>
      </w:trPr>
      <w:tcPr>
        <w:tcBorders>
          <w:top w:val="single" w:sz="18" w:space="0" w:color="2B8CC5" w:themeColor="accent3" w:themeTint="BF"/>
        </w:tcBorders>
      </w:tcPr>
    </w:tblStylePr>
    <w:tblStylePr w:type="firstCol">
      <w:rPr>
        <w:b/>
        <w:bCs/>
      </w:rPr>
    </w:tblStylePr>
    <w:tblStylePr w:type="lastCol">
      <w:rPr>
        <w:b/>
        <w:bCs/>
      </w:rPr>
    </w:tblStylePr>
    <w:tblStylePr w:type="band1Vert">
      <w:tblPr/>
      <w:trPr>
        <w:hidden/>
      </w:trPr>
      <w:tcPr>
        <w:shd w:val="clear" w:color="auto" w:fill="6CB4DF" w:themeFill="accent3" w:themeFillTint="7F"/>
      </w:tcPr>
    </w:tblStylePr>
    <w:tblStylePr w:type="band1Horz">
      <w:tblPr/>
      <w:trPr>
        <w:hidden/>
      </w:trPr>
      <w:tcPr>
        <w:shd w:val="clear" w:color="auto" w:fill="6CB4DF"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single" w:sz="8" w:space="0" w:color="71B163" w:themeColor="accent4" w:themeTint="BF"/>
        <w:insideV w:val="single" w:sz="8" w:space="0" w:color="71B163" w:themeColor="accent4" w:themeTint="BF"/>
      </w:tblBorders>
    </w:tblPr>
    <w:trPr>
      <w:hidden/>
    </w:trPr>
    <w:tcPr>
      <w:shd w:val="clear" w:color="auto" w:fill="D0E5CB" w:themeFill="accent4" w:themeFillTint="3F"/>
    </w:tcPr>
    <w:tblStylePr w:type="firstRow">
      <w:rPr>
        <w:b/>
        <w:bCs/>
      </w:rPr>
    </w:tblStylePr>
    <w:tblStylePr w:type="lastRow">
      <w:rPr>
        <w:b/>
        <w:bCs/>
      </w:rPr>
      <w:tblPr/>
      <w:trPr>
        <w:hidden/>
      </w:trPr>
      <w:tcPr>
        <w:tcBorders>
          <w:top w:val="single" w:sz="18" w:space="0" w:color="71B163" w:themeColor="accent4" w:themeTint="BF"/>
        </w:tcBorders>
      </w:tcPr>
    </w:tblStylePr>
    <w:tblStylePr w:type="firstCol">
      <w:rPr>
        <w:b/>
        <w:bCs/>
      </w:rPr>
    </w:tblStylePr>
    <w:tblStylePr w:type="lastCol">
      <w:rPr>
        <w:b/>
        <w:bCs/>
      </w:rPr>
    </w:tblStylePr>
    <w:tblStylePr w:type="band1Vert">
      <w:tblPr/>
      <w:trPr>
        <w:hidden/>
      </w:trPr>
      <w:tcPr>
        <w:shd w:val="clear" w:color="auto" w:fill="A0CB97" w:themeFill="accent4" w:themeFillTint="7F"/>
      </w:tcPr>
    </w:tblStylePr>
    <w:tblStylePr w:type="band1Horz">
      <w:tblPr/>
      <w:trPr>
        <w:hidden/>
      </w:trPr>
      <w:tcPr>
        <w:shd w:val="clear" w:color="auto" w:fill="A0CB97"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single" w:sz="8" w:space="0" w:color="876AA5" w:themeColor="accent5" w:themeTint="BF"/>
        <w:insideV w:val="single" w:sz="8" w:space="0" w:color="876AA5" w:themeColor="accent5" w:themeTint="BF"/>
      </w:tblBorders>
    </w:tblPr>
    <w:trPr>
      <w:hidden/>
    </w:trPr>
    <w:tcPr>
      <w:shd w:val="clear" w:color="auto" w:fill="D7CDE1" w:themeFill="accent5" w:themeFillTint="3F"/>
    </w:tcPr>
    <w:tblStylePr w:type="firstRow">
      <w:rPr>
        <w:b/>
        <w:bCs/>
      </w:rPr>
    </w:tblStylePr>
    <w:tblStylePr w:type="lastRow">
      <w:rPr>
        <w:b/>
        <w:bCs/>
      </w:rPr>
      <w:tblPr/>
      <w:trPr>
        <w:hidden/>
      </w:trPr>
      <w:tcPr>
        <w:tcBorders>
          <w:top w:val="single" w:sz="18" w:space="0" w:color="876AA5" w:themeColor="accent5" w:themeTint="BF"/>
        </w:tcBorders>
      </w:tcPr>
    </w:tblStylePr>
    <w:tblStylePr w:type="firstCol">
      <w:rPr>
        <w:b/>
        <w:bCs/>
      </w:rPr>
    </w:tblStylePr>
    <w:tblStylePr w:type="lastCol">
      <w:rPr>
        <w:b/>
        <w:bCs/>
      </w:rPr>
    </w:tblStylePr>
    <w:tblStylePr w:type="band1Vert">
      <w:tblPr/>
      <w:trPr>
        <w:hidden/>
      </w:trPr>
      <w:tcPr>
        <w:shd w:val="clear" w:color="auto" w:fill="AF9BC3" w:themeFill="accent5" w:themeFillTint="7F"/>
      </w:tcPr>
    </w:tblStylePr>
    <w:tblStylePr w:type="band1Horz">
      <w:tblPr/>
      <w:trPr>
        <w:hidden/>
      </w:trPr>
      <w:tcPr>
        <w:shd w:val="clear" w:color="auto" w:fill="AF9BC3"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single" w:sz="8" w:space="0" w:color="D0B182" w:themeColor="accent6" w:themeTint="BF"/>
        <w:insideV w:val="single" w:sz="8" w:space="0" w:color="D0B182" w:themeColor="accent6" w:themeTint="BF"/>
      </w:tblBorders>
    </w:tblPr>
    <w:trPr>
      <w:hidden/>
    </w:trPr>
    <w:tcPr>
      <w:shd w:val="clear" w:color="auto" w:fill="EFE5D6" w:themeFill="accent6" w:themeFillTint="3F"/>
    </w:tcPr>
    <w:tblStylePr w:type="firstRow">
      <w:rPr>
        <w:b/>
        <w:bCs/>
      </w:rPr>
    </w:tblStylePr>
    <w:tblStylePr w:type="lastRow">
      <w:rPr>
        <w:b/>
        <w:bCs/>
      </w:rPr>
      <w:tblPr/>
      <w:trPr>
        <w:hidden/>
      </w:trPr>
      <w:tcPr>
        <w:tcBorders>
          <w:top w:val="single" w:sz="18" w:space="0" w:color="D0B182" w:themeColor="accent6" w:themeTint="BF"/>
        </w:tcBorders>
      </w:tcPr>
    </w:tblStylePr>
    <w:tblStylePr w:type="firstCol">
      <w:rPr>
        <w:b/>
        <w:bCs/>
      </w:rPr>
    </w:tblStylePr>
    <w:tblStylePr w:type="lastCol">
      <w:rPr>
        <w:b/>
        <w:bCs/>
      </w:rPr>
    </w:tblStylePr>
    <w:tblStylePr w:type="band1Vert">
      <w:tblPr/>
      <w:trPr>
        <w:hidden/>
      </w:trPr>
      <w:tcPr>
        <w:shd w:val="clear" w:color="auto" w:fill="E0CBAC" w:themeFill="accent6" w:themeFillTint="7F"/>
      </w:tcPr>
    </w:tblStylePr>
    <w:tblStylePr w:type="band1Horz">
      <w:tblPr/>
      <w:trPr>
        <w:hidden/>
      </w:trPr>
      <w:tcPr>
        <w:shd w:val="clear" w:color="auto" w:fill="E0CBAC"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insideH w:val="single" w:sz="8" w:space="0" w:color="F07F09" w:themeColor="accent1"/>
        <w:insideV w:val="single" w:sz="8" w:space="0" w:color="F07F09" w:themeColor="accent1"/>
      </w:tblBorders>
    </w:tblPr>
    <w:trPr>
      <w:hidden/>
    </w:trPr>
    <w:tcPr>
      <w:shd w:val="clear" w:color="auto" w:fill="FCDFC0" w:themeFill="accent1" w:themeFillTint="3F"/>
    </w:tcPr>
    <w:tblStylePr w:type="firstRow">
      <w:rPr>
        <w:b/>
        <w:bCs/>
        <w:color w:val="000000" w:themeColor="text1"/>
      </w:rPr>
      <w:tblPr/>
      <w:trPr>
        <w:hidden/>
      </w:trPr>
      <w:tcPr>
        <w:shd w:val="clear" w:color="auto" w:fill="FEF2E6"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5CC" w:themeFill="accent1" w:themeFillTint="33"/>
      </w:tcPr>
    </w:tblStylePr>
    <w:tblStylePr w:type="band1Vert">
      <w:tblPr/>
      <w:trPr>
        <w:hidden/>
      </w:trPr>
      <w:tcPr>
        <w:shd w:val="clear" w:color="auto" w:fill="FABF81" w:themeFill="accent1" w:themeFillTint="7F"/>
      </w:tcPr>
    </w:tblStylePr>
    <w:tblStylePr w:type="band1Horz">
      <w:tblPr/>
      <w:trPr>
        <w:hidden/>
      </w:trPr>
      <w:tcPr>
        <w:tcBorders>
          <w:insideH w:val="single" w:sz="6" w:space="0" w:color="F07F09" w:themeColor="accent1"/>
          <w:insideV w:val="single" w:sz="6" w:space="0" w:color="F07F09" w:themeColor="accent1"/>
        </w:tcBorders>
        <w:shd w:val="clear" w:color="auto" w:fill="FABF81"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insideH w:val="single" w:sz="8" w:space="0" w:color="9F2936" w:themeColor="accent2"/>
        <w:insideV w:val="single" w:sz="8" w:space="0" w:color="9F2936" w:themeColor="accent2"/>
      </w:tblBorders>
    </w:tblPr>
    <w:trPr>
      <w:hidden/>
    </w:trPr>
    <w:tcPr>
      <w:shd w:val="clear" w:color="auto" w:fill="EFC2C6" w:themeFill="accent2" w:themeFillTint="3F"/>
    </w:tcPr>
    <w:tblStylePr w:type="firstRow">
      <w:rPr>
        <w:b/>
        <w:bCs/>
        <w:color w:val="000000" w:themeColor="text1"/>
      </w:rPr>
      <w:tblPr/>
      <w:trPr>
        <w:hidden/>
      </w:trPr>
      <w:tcPr>
        <w:shd w:val="clear" w:color="auto" w:fill="F8E6E8"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CDD1" w:themeFill="accent2" w:themeFillTint="33"/>
      </w:tcPr>
    </w:tblStylePr>
    <w:tblStylePr w:type="band1Vert">
      <w:tblPr/>
      <w:trPr>
        <w:hidden/>
      </w:trPr>
      <w:tcPr>
        <w:shd w:val="clear" w:color="auto" w:fill="DF848E" w:themeFill="accent2" w:themeFillTint="7F"/>
      </w:tcPr>
    </w:tblStylePr>
    <w:tblStylePr w:type="band1Horz">
      <w:tblPr/>
      <w:trPr>
        <w:hidden/>
      </w:trPr>
      <w:tcPr>
        <w:tcBorders>
          <w:insideH w:val="single" w:sz="6" w:space="0" w:color="9F2936" w:themeColor="accent2"/>
          <w:insideV w:val="single" w:sz="6" w:space="0" w:color="9F2936" w:themeColor="accent2"/>
        </w:tcBorders>
        <w:shd w:val="clear" w:color="auto" w:fill="DF848E"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insideH w:val="single" w:sz="8" w:space="0" w:color="1B587C" w:themeColor="accent3"/>
        <w:insideV w:val="single" w:sz="8" w:space="0" w:color="1B587C" w:themeColor="accent3"/>
      </w:tblBorders>
    </w:tblPr>
    <w:trPr>
      <w:hidden/>
    </w:trPr>
    <w:tcPr>
      <w:shd w:val="clear" w:color="auto" w:fill="B5D9EF" w:themeFill="accent3" w:themeFillTint="3F"/>
    </w:tcPr>
    <w:tblStylePr w:type="firstRow">
      <w:rPr>
        <w:b/>
        <w:bCs/>
        <w:color w:val="000000" w:themeColor="text1"/>
      </w:rPr>
      <w:tblPr/>
      <w:trPr>
        <w:hidden/>
      </w:trPr>
      <w:tcPr>
        <w:shd w:val="clear" w:color="auto" w:fill="E1F0F8"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3E0F2" w:themeFill="accent3" w:themeFillTint="33"/>
      </w:tcPr>
    </w:tblStylePr>
    <w:tblStylePr w:type="band1Vert">
      <w:tblPr/>
      <w:trPr>
        <w:hidden/>
      </w:trPr>
      <w:tcPr>
        <w:shd w:val="clear" w:color="auto" w:fill="6CB4DF" w:themeFill="accent3" w:themeFillTint="7F"/>
      </w:tcPr>
    </w:tblStylePr>
    <w:tblStylePr w:type="band1Horz">
      <w:tblPr/>
      <w:trPr>
        <w:hidden/>
      </w:trPr>
      <w:tcPr>
        <w:tcBorders>
          <w:insideH w:val="single" w:sz="6" w:space="0" w:color="1B587C" w:themeColor="accent3"/>
          <w:insideV w:val="single" w:sz="6" w:space="0" w:color="1B587C" w:themeColor="accent3"/>
        </w:tcBorders>
        <w:shd w:val="clear" w:color="auto" w:fill="6CB4DF"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insideH w:val="single" w:sz="8" w:space="0" w:color="4E8542" w:themeColor="accent4"/>
        <w:insideV w:val="single" w:sz="8" w:space="0" w:color="4E8542" w:themeColor="accent4"/>
      </w:tblBorders>
    </w:tblPr>
    <w:trPr>
      <w:hidden/>
    </w:trPr>
    <w:tcPr>
      <w:shd w:val="clear" w:color="auto" w:fill="D0E5CB" w:themeFill="accent4" w:themeFillTint="3F"/>
    </w:tcPr>
    <w:tblStylePr w:type="firstRow">
      <w:rPr>
        <w:b/>
        <w:bCs/>
        <w:color w:val="000000" w:themeColor="text1"/>
      </w:rPr>
      <w:tblPr/>
      <w:trPr>
        <w:hidden/>
      </w:trPr>
      <w:tcPr>
        <w:shd w:val="clear" w:color="auto" w:fill="ECF4EA"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9EAD5" w:themeFill="accent4" w:themeFillTint="33"/>
      </w:tcPr>
    </w:tblStylePr>
    <w:tblStylePr w:type="band1Vert">
      <w:tblPr/>
      <w:trPr>
        <w:hidden/>
      </w:trPr>
      <w:tcPr>
        <w:shd w:val="clear" w:color="auto" w:fill="A0CB97" w:themeFill="accent4" w:themeFillTint="7F"/>
      </w:tcPr>
    </w:tblStylePr>
    <w:tblStylePr w:type="band1Horz">
      <w:tblPr/>
      <w:trPr>
        <w:hidden/>
      </w:trPr>
      <w:tcPr>
        <w:tcBorders>
          <w:insideH w:val="single" w:sz="6" w:space="0" w:color="4E8542" w:themeColor="accent4"/>
          <w:insideV w:val="single" w:sz="6" w:space="0" w:color="4E8542" w:themeColor="accent4"/>
        </w:tcBorders>
        <w:shd w:val="clear" w:color="auto" w:fill="A0CB97"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insideH w:val="single" w:sz="8" w:space="0" w:color="604878" w:themeColor="accent5"/>
        <w:insideV w:val="single" w:sz="8" w:space="0" w:color="604878" w:themeColor="accent5"/>
      </w:tblBorders>
    </w:tblPr>
    <w:trPr>
      <w:hidden/>
    </w:trPr>
    <w:tcPr>
      <w:shd w:val="clear" w:color="auto" w:fill="D7CDE1" w:themeFill="accent5" w:themeFillTint="3F"/>
    </w:tcPr>
    <w:tblStylePr w:type="firstRow">
      <w:rPr>
        <w:b/>
        <w:bCs/>
        <w:color w:val="000000" w:themeColor="text1"/>
      </w:rPr>
      <w:tblPr/>
      <w:trPr>
        <w:hidden/>
      </w:trPr>
      <w:tcPr>
        <w:shd w:val="clear" w:color="auto" w:fill="EFEBF3"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FD7E7" w:themeFill="accent5" w:themeFillTint="33"/>
      </w:tcPr>
    </w:tblStylePr>
    <w:tblStylePr w:type="band1Vert">
      <w:tblPr/>
      <w:trPr>
        <w:hidden/>
      </w:trPr>
      <w:tcPr>
        <w:shd w:val="clear" w:color="auto" w:fill="AF9BC3" w:themeFill="accent5" w:themeFillTint="7F"/>
      </w:tcPr>
    </w:tblStylePr>
    <w:tblStylePr w:type="band1Horz">
      <w:tblPr/>
      <w:trPr>
        <w:hidden/>
      </w:trPr>
      <w:tcPr>
        <w:tcBorders>
          <w:insideH w:val="single" w:sz="6" w:space="0" w:color="604878" w:themeColor="accent5"/>
          <w:insideV w:val="single" w:sz="6" w:space="0" w:color="604878" w:themeColor="accent5"/>
        </w:tcBorders>
        <w:shd w:val="clear" w:color="auto" w:fill="AF9BC3"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insideH w:val="single" w:sz="8" w:space="0" w:color="C19859" w:themeColor="accent6"/>
        <w:insideV w:val="single" w:sz="8" w:space="0" w:color="C19859" w:themeColor="accent6"/>
      </w:tblBorders>
    </w:tblPr>
    <w:trPr>
      <w:hidden/>
    </w:trPr>
    <w:tcPr>
      <w:shd w:val="clear" w:color="auto" w:fill="EFE5D6" w:themeFill="accent6" w:themeFillTint="3F"/>
    </w:tcPr>
    <w:tblStylePr w:type="firstRow">
      <w:rPr>
        <w:b/>
        <w:bCs/>
        <w:color w:val="000000" w:themeColor="text1"/>
      </w:rPr>
      <w:tblPr/>
      <w:trPr>
        <w:hidden/>
      </w:trPr>
      <w:tcPr>
        <w:shd w:val="clear" w:color="auto" w:fill="F8F4EE"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EADD" w:themeFill="accent6" w:themeFillTint="33"/>
      </w:tcPr>
    </w:tblStylePr>
    <w:tblStylePr w:type="band1Vert">
      <w:tblPr/>
      <w:trPr>
        <w:hidden/>
      </w:trPr>
      <w:tcPr>
        <w:shd w:val="clear" w:color="auto" w:fill="E0CBAC" w:themeFill="accent6" w:themeFillTint="7F"/>
      </w:tcPr>
    </w:tblStylePr>
    <w:tblStylePr w:type="band1Horz">
      <w:tblPr/>
      <w:trPr>
        <w:hidden/>
      </w:trPr>
      <w:tcPr>
        <w:tcBorders>
          <w:insideH w:val="single" w:sz="6" w:space="0" w:color="C19859" w:themeColor="accent6"/>
          <w:insideV w:val="single" w:sz="6" w:space="0" w:color="C19859" w:themeColor="accent6"/>
        </w:tcBorders>
        <w:shd w:val="clear" w:color="auto" w:fill="E0CBAC"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CDFC0"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07F09"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07F09"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07F09"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07F09"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BF81"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BF81"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C2C6"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F2936"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F2936"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F2936"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F2936"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848E"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848E"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B5D9EF"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B587C"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B587C"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1B587C"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1B587C"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CB4DF"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CB4DF"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0E5CB"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854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854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E854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E854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CB97"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CB97"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7CDE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04878"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04878"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604878"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604878"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BC3"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BC3"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E5D6"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9859"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9859"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19859"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19859"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CBAC"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CBAC"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323232"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07F09" w:themeColor="accent1"/>
        <w:bottom w:val="single" w:sz="8" w:space="0" w:color="F07F09"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F07F09" w:themeColor="accent1"/>
        </w:tcBorders>
      </w:tcPr>
    </w:tblStylePr>
    <w:tblStylePr w:type="lastRow">
      <w:rPr>
        <w:b/>
        <w:bCs/>
        <w:color w:val="323232" w:themeColor="text2"/>
      </w:rPr>
      <w:tblPr/>
      <w:trPr>
        <w:hidden/>
      </w:trPr>
      <w:tcPr>
        <w:tcBorders>
          <w:top w:val="single" w:sz="8" w:space="0" w:color="F07F09" w:themeColor="accent1"/>
          <w:bottom w:val="single" w:sz="8" w:space="0" w:color="F07F09" w:themeColor="accent1"/>
        </w:tcBorders>
      </w:tcPr>
    </w:tblStylePr>
    <w:tblStylePr w:type="firstCol">
      <w:rPr>
        <w:b/>
        <w:bCs/>
      </w:rPr>
    </w:tblStylePr>
    <w:tblStylePr w:type="lastCol">
      <w:rPr>
        <w:b/>
        <w:bCs/>
      </w:rPr>
      <w:tblPr/>
      <w:trPr>
        <w:hidden/>
      </w:trPr>
      <w:tcPr>
        <w:tcBorders>
          <w:top w:val="single" w:sz="8" w:space="0" w:color="F07F09" w:themeColor="accent1"/>
          <w:bottom w:val="single" w:sz="8" w:space="0" w:color="F07F09" w:themeColor="accent1"/>
        </w:tcBorders>
      </w:tcPr>
    </w:tblStylePr>
    <w:tblStylePr w:type="band1Vert">
      <w:tblPr/>
      <w:trPr>
        <w:hidden/>
      </w:trPr>
      <w:tcPr>
        <w:shd w:val="clear" w:color="auto" w:fill="FCDFC0" w:themeFill="accent1" w:themeFillTint="3F"/>
      </w:tcPr>
    </w:tblStylePr>
    <w:tblStylePr w:type="band1Horz">
      <w:tblPr/>
      <w:trPr>
        <w:hidden/>
      </w:trPr>
      <w:tcPr>
        <w:shd w:val="clear" w:color="auto" w:fill="FCDFC0"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F2936" w:themeColor="accent2"/>
        <w:bottom w:val="single" w:sz="8" w:space="0" w:color="9F2936"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9F2936" w:themeColor="accent2"/>
        </w:tcBorders>
      </w:tcPr>
    </w:tblStylePr>
    <w:tblStylePr w:type="lastRow">
      <w:rPr>
        <w:b/>
        <w:bCs/>
        <w:color w:val="323232" w:themeColor="text2"/>
      </w:rPr>
      <w:tblPr/>
      <w:trPr>
        <w:hidden/>
      </w:trPr>
      <w:tcPr>
        <w:tcBorders>
          <w:top w:val="single" w:sz="8" w:space="0" w:color="9F2936" w:themeColor="accent2"/>
          <w:bottom w:val="single" w:sz="8" w:space="0" w:color="9F2936" w:themeColor="accent2"/>
        </w:tcBorders>
      </w:tcPr>
    </w:tblStylePr>
    <w:tblStylePr w:type="firstCol">
      <w:rPr>
        <w:b/>
        <w:bCs/>
      </w:rPr>
    </w:tblStylePr>
    <w:tblStylePr w:type="lastCol">
      <w:rPr>
        <w:b/>
        <w:bCs/>
      </w:rPr>
      <w:tblPr/>
      <w:trPr>
        <w:hidden/>
      </w:trPr>
      <w:tcPr>
        <w:tcBorders>
          <w:top w:val="single" w:sz="8" w:space="0" w:color="9F2936" w:themeColor="accent2"/>
          <w:bottom w:val="single" w:sz="8" w:space="0" w:color="9F2936" w:themeColor="accent2"/>
        </w:tcBorders>
      </w:tcPr>
    </w:tblStylePr>
    <w:tblStylePr w:type="band1Vert">
      <w:tblPr/>
      <w:trPr>
        <w:hidden/>
      </w:trPr>
      <w:tcPr>
        <w:shd w:val="clear" w:color="auto" w:fill="EFC2C6" w:themeFill="accent2" w:themeFillTint="3F"/>
      </w:tcPr>
    </w:tblStylePr>
    <w:tblStylePr w:type="band1Horz">
      <w:tblPr/>
      <w:trPr>
        <w:hidden/>
      </w:trPr>
      <w:tcPr>
        <w:shd w:val="clear" w:color="auto" w:fill="EFC2C6"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1B587C" w:themeColor="accent3"/>
        <w:bottom w:val="single" w:sz="8" w:space="0" w:color="1B587C"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1B587C" w:themeColor="accent3"/>
        </w:tcBorders>
      </w:tcPr>
    </w:tblStylePr>
    <w:tblStylePr w:type="lastRow">
      <w:rPr>
        <w:b/>
        <w:bCs/>
        <w:color w:val="323232" w:themeColor="text2"/>
      </w:rPr>
      <w:tblPr/>
      <w:trPr>
        <w:hidden/>
      </w:trPr>
      <w:tcPr>
        <w:tcBorders>
          <w:top w:val="single" w:sz="8" w:space="0" w:color="1B587C" w:themeColor="accent3"/>
          <w:bottom w:val="single" w:sz="8" w:space="0" w:color="1B587C" w:themeColor="accent3"/>
        </w:tcBorders>
      </w:tcPr>
    </w:tblStylePr>
    <w:tblStylePr w:type="firstCol">
      <w:rPr>
        <w:b/>
        <w:bCs/>
      </w:rPr>
    </w:tblStylePr>
    <w:tblStylePr w:type="lastCol">
      <w:rPr>
        <w:b/>
        <w:bCs/>
      </w:rPr>
      <w:tblPr/>
      <w:trPr>
        <w:hidden/>
      </w:trPr>
      <w:tcPr>
        <w:tcBorders>
          <w:top w:val="single" w:sz="8" w:space="0" w:color="1B587C" w:themeColor="accent3"/>
          <w:bottom w:val="single" w:sz="8" w:space="0" w:color="1B587C" w:themeColor="accent3"/>
        </w:tcBorders>
      </w:tcPr>
    </w:tblStylePr>
    <w:tblStylePr w:type="band1Vert">
      <w:tblPr/>
      <w:trPr>
        <w:hidden/>
      </w:trPr>
      <w:tcPr>
        <w:shd w:val="clear" w:color="auto" w:fill="B5D9EF" w:themeFill="accent3" w:themeFillTint="3F"/>
      </w:tcPr>
    </w:tblStylePr>
    <w:tblStylePr w:type="band1Horz">
      <w:tblPr/>
      <w:trPr>
        <w:hidden/>
      </w:trPr>
      <w:tcPr>
        <w:shd w:val="clear" w:color="auto" w:fill="B5D9EF"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E8542" w:themeColor="accent4"/>
        <w:bottom w:val="single" w:sz="8" w:space="0" w:color="4E854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4E8542" w:themeColor="accent4"/>
        </w:tcBorders>
      </w:tcPr>
    </w:tblStylePr>
    <w:tblStylePr w:type="lastRow">
      <w:rPr>
        <w:b/>
        <w:bCs/>
        <w:color w:val="323232" w:themeColor="text2"/>
      </w:rPr>
      <w:tblPr/>
      <w:trPr>
        <w:hidden/>
      </w:trPr>
      <w:tcPr>
        <w:tcBorders>
          <w:top w:val="single" w:sz="8" w:space="0" w:color="4E8542" w:themeColor="accent4"/>
          <w:bottom w:val="single" w:sz="8" w:space="0" w:color="4E8542" w:themeColor="accent4"/>
        </w:tcBorders>
      </w:tcPr>
    </w:tblStylePr>
    <w:tblStylePr w:type="firstCol">
      <w:rPr>
        <w:b/>
        <w:bCs/>
      </w:rPr>
    </w:tblStylePr>
    <w:tblStylePr w:type="lastCol">
      <w:rPr>
        <w:b/>
        <w:bCs/>
      </w:rPr>
      <w:tblPr/>
      <w:trPr>
        <w:hidden/>
      </w:trPr>
      <w:tcPr>
        <w:tcBorders>
          <w:top w:val="single" w:sz="8" w:space="0" w:color="4E8542" w:themeColor="accent4"/>
          <w:bottom w:val="single" w:sz="8" w:space="0" w:color="4E8542" w:themeColor="accent4"/>
        </w:tcBorders>
      </w:tcPr>
    </w:tblStylePr>
    <w:tblStylePr w:type="band1Vert">
      <w:tblPr/>
      <w:trPr>
        <w:hidden/>
      </w:trPr>
      <w:tcPr>
        <w:shd w:val="clear" w:color="auto" w:fill="D0E5CB" w:themeFill="accent4" w:themeFillTint="3F"/>
      </w:tcPr>
    </w:tblStylePr>
    <w:tblStylePr w:type="band1Horz">
      <w:tblPr/>
      <w:trPr>
        <w:hidden/>
      </w:trPr>
      <w:tcPr>
        <w:shd w:val="clear" w:color="auto" w:fill="D0E5CB"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604878" w:themeColor="accent5"/>
        <w:bottom w:val="single" w:sz="8" w:space="0" w:color="604878"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604878" w:themeColor="accent5"/>
        </w:tcBorders>
      </w:tcPr>
    </w:tblStylePr>
    <w:tblStylePr w:type="lastRow">
      <w:rPr>
        <w:b/>
        <w:bCs/>
        <w:color w:val="323232" w:themeColor="text2"/>
      </w:rPr>
      <w:tblPr/>
      <w:trPr>
        <w:hidden/>
      </w:trPr>
      <w:tcPr>
        <w:tcBorders>
          <w:top w:val="single" w:sz="8" w:space="0" w:color="604878" w:themeColor="accent5"/>
          <w:bottom w:val="single" w:sz="8" w:space="0" w:color="604878" w:themeColor="accent5"/>
        </w:tcBorders>
      </w:tcPr>
    </w:tblStylePr>
    <w:tblStylePr w:type="firstCol">
      <w:rPr>
        <w:b/>
        <w:bCs/>
      </w:rPr>
    </w:tblStylePr>
    <w:tblStylePr w:type="lastCol">
      <w:rPr>
        <w:b/>
        <w:bCs/>
      </w:rPr>
      <w:tblPr/>
      <w:trPr>
        <w:hidden/>
      </w:trPr>
      <w:tcPr>
        <w:tcBorders>
          <w:top w:val="single" w:sz="8" w:space="0" w:color="604878" w:themeColor="accent5"/>
          <w:bottom w:val="single" w:sz="8" w:space="0" w:color="604878" w:themeColor="accent5"/>
        </w:tcBorders>
      </w:tcPr>
    </w:tblStylePr>
    <w:tblStylePr w:type="band1Vert">
      <w:tblPr/>
      <w:trPr>
        <w:hidden/>
      </w:trPr>
      <w:tcPr>
        <w:shd w:val="clear" w:color="auto" w:fill="D7CDE1" w:themeFill="accent5" w:themeFillTint="3F"/>
      </w:tcPr>
    </w:tblStylePr>
    <w:tblStylePr w:type="band1Horz">
      <w:tblPr/>
      <w:trPr>
        <w:hidden/>
      </w:trPr>
      <w:tcPr>
        <w:shd w:val="clear" w:color="auto" w:fill="D7CDE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19859" w:themeColor="accent6"/>
        <w:bottom w:val="single" w:sz="8" w:space="0" w:color="C19859"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C19859" w:themeColor="accent6"/>
        </w:tcBorders>
      </w:tcPr>
    </w:tblStylePr>
    <w:tblStylePr w:type="lastRow">
      <w:rPr>
        <w:b/>
        <w:bCs/>
        <w:color w:val="323232" w:themeColor="text2"/>
      </w:rPr>
      <w:tblPr/>
      <w:trPr>
        <w:hidden/>
      </w:trPr>
      <w:tcPr>
        <w:tcBorders>
          <w:top w:val="single" w:sz="8" w:space="0" w:color="C19859" w:themeColor="accent6"/>
          <w:bottom w:val="single" w:sz="8" w:space="0" w:color="C19859" w:themeColor="accent6"/>
        </w:tcBorders>
      </w:tcPr>
    </w:tblStylePr>
    <w:tblStylePr w:type="firstCol">
      <w:rPr>
        <w:b/>
        <w:bCs/>
      </w:rPr>
    </w:tblStylePr>
    <w:tblStylePr w:type="lastCol">
      <w:rPr>
        <w:b/>
        <w:bCs/>
      </w:rPr>
      <w:tblPr/>
      <w:trPr>
        <w:hidden/>
      </w:trPr>
      <w:tcPr>
        <w:tcBorders>
          <w:top w:val="single" w:sz="8" w:space="0" w:color="C19859" w:themeColor="accent6"/>
          <w:bottom w:val="single" w:sz="8" w:space="0" w:color="C19859" w:themeColor="accent6"/>
        </w:tcBorders>
      </w:tcPr>
    </w:tblStylePr>
    <w:tblStylePr w:type="band1Vert">
      <w:tblPr/>
      <w:trPr>
        <w:hidden/>
      </w:trPr>
      <w:tcPr>
        <w:shd w:val="clear" w:color="auto" w:fill="EFE5D6" w:themeFill="accent6" w:themeFillTint="3F"/>
      </w:tcPr>
    </w:tblStylePr>
    <w:tblStylePr w:type="band1Horz">
      <w:tblPr/>
      <w:trPr>
        <w:hidden/>
      </w:trPr>
      <w:tcPr>
        <w:shd w:val="clear" w:color="auto" w:fill="EFE5D6"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tblBorders>
    </w:tblPr>
    <w:trPr>
      <w:hidden/>
    </w:trPr>
    <w:tblStylePr w:type="firstRow">
      <w:rPr>
        <w:sz w:val="24"/>
        <w:szCs w:val="24"/>
      </w:rPr>
      <w:tblPr/>
      <w:trPr>
        <w:hidden/>
      </w:trPr>
      <w:tcPr>
        <w:tcBorders>
          <w:top w:val="nil"/>
          <w:left w:val="nil"/>
          <w:bottom w:val="single" w:sz="24" w:space="0" w:color="F07F09" w:themeColor="accent1"/>
          <w:right w:val="nil"/>
          <w:insideH w:val="nil"/>
          <w:insideV w:val="nil"/>
        </w:tcBorders>
        <w:shd w:val="clear" w:color="auto" w:fill="FFFFFF" w:themeFill="background1"/>
      </w:tcPr>
    </w:tblStylePr>
    <w:tblStylePr w:type="lastRow">
      <w:tblPr/>
      <w:trPr>
        <w:hidden/>
      </w:trPr>
      <w:tcPr>
        <w:tcBorders>
          <w:top w:val="single" w:sz="8" w:space="0" w:color="F07F09"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07F09" w:themeColor="accent1"/>
          <w:insideH w:val="nil"/>
          <w:insideV w:val="nil"/>
        </w:tcBorders>
        <w:shd w:val="clear" w:color="auto" w:fill="FFFFFF" w:themeFill="background1"/>
      </w:tcPr>
    </w:tblStylePr>
    <w:tblStylePr w:type="lastCol">
      <w:tblPr/>
      <w:trPr>
        <w:hidden/>
      </w:trPr>
      <w:tcPr>
        <w:tcBorders>
          <w:top w:val="nil"/>
          <w:left w:val="single" w:sz="8" w:space="0" w:color="F07F09"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CDFC0" w:themeFill="accent1" w:themeFillTint="3F"/>
      </w:tcPr>
    </w:tblStylePr>
    <w:tblStylePr w:type="band1Horz">
      <w:tblPr/>
      <w:trPr>
        <w:hidden/>
      </w:trPr>
      <w:tcPr>
        <w:tcBorders>
          <w:top w:val="nil"/>
          <w:bottom w:val="nil"/>
          <w:insideH w:val="nil"/>
          <w:insideV w:val="nil"/>
        </w:tcBorders>
        <w:shd w:val="clear" w:color="auto" w:fill="FCDFC0"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tblBorders>
    </w:tblPr>
    <w:trPr>
      <w:hidden/>
    </w:trPr>
    <w:tblStylePr w:type="firstRow">
      <w:rPr>
        <w:sz w:val="24"/>
        <w:szCs w:val="24"/>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tblPr/>
      <w:trPr>
        <w:hidden/>
      </w:trPr>
      <w:tcPr>
        <w:tcBorders>
          <w:top w:val="single" w:sz="8" w:space="0" w:color="9F2936"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F2936" w:themeColor="accent2"/>
          <w:insideH w:val="nil"/>
          <w:insideV w:val="nil"/>
        </w:tcBorders>
        <w:shd w:val="clear" w:color="auto" w:fill="FFFFFF" w:themeFill="background1"/>
      </w:tcPr>
    </w:tblStylePr>
    <w:tblStylePr w:type="lastCol">
      <w:tblPr/>
      <w:trPr>
        <w:hidden/>
      </w:trPr>
      <w:tcPr>
        <w:tcBorders>
          <w:top w:val="nil"/>
          <w:left w:val="single" w:sz="8" w:space="0" w:color="9F2936"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C2C6" w:themeFill="accent2" w:themeFillTint="3F"/>
      </w:tcPr>
    </w:tblStylePr>
    <w:tblStylePr w:type="band1Horz">
      <w:tblPr/>
      <w:trPr>
        <w:hidden/>
      </w:trPr>
      <w:tcPr>
        <w:tcBorders>
          <w:top w:val="nil"/>
          <w:bottom w:val="nil"/>
          <w:insideH w:val="nil"/>
          <w:insideV w:val="nil"/>
        </w:tcBorders>
        <w:shd w:val="clear" w:color="auto" w:fill="EFC2C6"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tblBorders>
    </w:tblPr>
    <w:trPr>
      <w:hidden/>
    </w:trPr>
    <w:tblStylePr w:type="firstRow">
      <w:rPr>
        <w:sz w:val="24"/>
        <w:szCs w:val="24"/>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tblPr/>
      <w:trPr>
        <w:hidden/>
      </w:trPr>
      <w:tcPr>
        <w:tcBorders>
          <w:top w:val="single" w:sz="8" w:space="0" w:color="1B587C"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1B587C" w:themeColor="accent3"/>
          <w:insideH w:val="nil"/>
          <w:insideV w:val="nil"/>
        </w:tcBorders>
        <w:shd w:val="clear" w:color="auto" w:fill="FFFFFF" w:themeFill="background1"/>
      </w:tcPr>
    </w:tblStylePr>
    <w:tblStylePr w:type="lastCol">
      <w:tblPr/>
      <w:trPr>
        <w:hidden/>
      </w:trPr>
      <w:tcPr>
        <w:tcBorders>
          <w:top w:val="nil"/>
          <w:left w:val="single" w:sz="8" w:space="0" w:color="1B587C"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B5D9EF" w:themeFill="accent3" w:themeFillTint="3F"/>
      </w:tcPr>
    </w:tblStylePr>
    <w:tblStylePr w:type="band1Horz">
      <w:tblPr/>
      <w:trPr>
        <w:hidden/>
      </w:trPr>
      <w:tcPr>
        <w:tcBorders>
          <w:top w:val="nil"/>
          <w:bottom w:val="nil"/>
          <w:insideH w:val="nil"/>
          <w:insideV w:val="nil"/>
        </w:tcBorders>
        <w:shd w:val="clear" w:color="auto" w:fill="B5D9EF"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tblBorders>
    </w:tblPr>
    <w:trPr>
      <w:hidden/>
    </w:trPr>
    <w:tblStylePr w:type="firstRow">
      <w:rPr>
        <w:sz w:val="24"/>
        <w:szCs w:val="24"/>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tblPr/>
      <w:trPr>
        <w:hidden/>
      </w:trPr>
      <w:tcPr>
        <w:tcBorders>
          <w:top w:val="single" w:sz="8" w:space="0" w:color="4E854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E8542" w:themeColor="accent4"/>
          <w:insideH w:val="nil"/>
          <w:insideV w:val="nil"/>
        </w:tcBorders>
        <w:shd w:val="clear" w:color="auto" w:fill="FFFFFF" w:themeFill="background1"/>
      </w:tcPr>
    </w:tblStylePr>
    <w:tblStylePr w:type="lastCol">
      <w:tblPr/>
      <w:trPr>
        <w:hidden/>
      </w:trPr>
      <w:tcPr>
        <w:tcBorders>
          <w:top w:val="nil"/>
          <w:left w:val="single" w:sz="8" w:space="0" w:color="4E854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0E5CB" w:themeFill="accent4" w:themeFillTint="3F"/>
      </w:tcPr>
    </w:tblStylePr>
    <w:tblStylePr w:type="band1Horz">
      <w:tblPr/>
      <w:trPr>
        <w:hidden/>
      </w:trPr>
      <w:tcPr>
        <w:tcBorders>
          <w:top w:val="nil"/>
          <w:bottom w:val="nil"/>
          <w:insideH w:val="nil"/>
          <w:insideV w:val="nil"/>
        </w:tcBorders>
        <w:shd w:val="clear" w:color="auto" w:fill="D0E5CB"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tblBorders>
    </w:tblPr>
    <w:trPr>
      <w:hidden/>
    </w:trPr>
    <w:tblStylePr w:type="firstRow">
      <w:rPr>
        <w:sz w:val="24"/>
        <w:szCs w:val="24"/>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tblPr/>
      <w:trPr>
        <w:hidden/>
      </w:trPr>
      <w:tcPr>
        <w:tcBorders>
          <w:top w:val="single" w:sz="8" w:space="0" w:color="604878"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604878" w:themeColor="accent5"/>
          <w:insideH w:val="nil"/>
          <w:insideV w:val="nil"/>
        </w:tcBorders>
        <w:shd w:val="clear" w:color="auto" w:fill="FFFFFF" w:themeFill="background1"/>
      </w:tcPr>
    </w:tblStylePr>
    <w:tblStylePr w:type="lastCol">
      <w:tblPr/>
      <w:trPr>
        <w:hidden/>
      </w:trPr>
      <w:tcPr>
        <w:tcBorders>
          <w:top w:val="nil"/>
          <w:left w:val="single" w:sz="8" w:space="0" w:color="604878"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7CDE1" w:themeFill="accent5" w:themeFillTint="3F"/>
      </w:tcPr>
    </w:tblStylePr>
    <w:tblStylePr w:type="band1Horz">
      <w:tblPr/>
      <w:trPr>
        <w:hidden/>
      </w:trPr>
      <w:tcPr>
        <w:tcBorders>
          <w:top w:val="nil"/>
          <w:bottom w:val="nil"/>
          <w:insideH w:val="nil"/>
          <w:insideV w:val="nil"/>
        </w:tcBorders>
        <w:shd w:val="clear" w:color="auto" w:fill="D7CDE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tblBorders>
    </w:tblPr>
    <w:trPr>
      <w:hidden/>
    </w:trPr>
    <w:tblStylePr w:type="firstRow">
      <w:rPr>
        <w:sz w:val="24"/>
        <w:szCs w:val="24"/>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tblPr/>
      <w:trPr>
        <w:hidden/>
      </w:trPr>
      <w:tcPr>
        <w:tcBorders>
          <w:top w:val="single" w:sz="8" w:space="0" w:color="C19859"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19859" w:themeColor="accent6"/>
          <w:insideH w:val="nil"/>
          <w:insideV w:val="nil"/>
        </w:tcBorders>
        <w:shd w:val="clear" w:color="auto" w:fill="FFFFFF" w:themeFill="background1"/>
      </w:tcPr>
    </w:tblStylePr>
    <w:tblStylePr w:type="lastCol">
      <w:tblPr/>
      <w:trPr>
        <w:hidden/>
      </w:trPr>
      <w:tcPr>
        <w:tcBorders>
          <w:top w:val="nil"/>
          <w:left w:val="single" w:sz="8" w:space="0" w:color="C19859"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E5D6" w:themeFill="accent6" w:themeFillTint="3F"/>
      </w:tcPr>
    </w:tblStylePr>
    <w:tblStylePr w:type="band1Horz">
      <w:tblPr/>
      <w:trPr>
        <w:hidden/>
      </w:trPr>
      <w:tcPr>
        <w:tcBorders>
          <w:top w:val="nil"/>
          <w:bottom w:val="nil"/>
          <w:insideH w:val="nil"/>
          <w:insideV w:val="nil"/>
        </w:tcBorders>
        <w:shd w:val="clear" w:color="auto" w:fill="EFE5D6"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single" w:sz="8" w:space="0" w:color="F89E42"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nil"/>
          <w:insideV w:val="nil"/>
        </w:tcBorders>
        <w:shd w:val="clear" w:color="auto" w:fill="F07F09" w:themeFill="accent1"/>
      </w:tcPr>
    </w:tblStylePr>
    <w:tblStylePr w:type="lastRow">
      <w:pPr>
        <w:spacing w:before="0" w:after="0" w:line="240" w:lineRule="auto"/>
      </w:pPr>
      <w:rPr>
        <w:b/>
        <w:bCs/>
      </w:rPr>
      <w:tblPr/>
      <w:trPr>
        <w:hidden/>
      </w:trPr>
      <w:tcPr>
        <w:tcBorders>
          <w:top w:val="double" w:sz="6"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CDFC0" w:themeFill="accent1" w:themeFillTint="3F"/>
      </w:tcPr>
    </w:tblStylePr>
    <w:tblStylePr w:type="band1Horz">
      <w:tblPr/>
      <w:trPr>
        <w:hidden/>
      </w:trPr>
      <w:tcPr>
        <w:tcBorders>
          <w:insideH w:val="nil"/>
          <w:insideV w:val="nil"/>
        </w:tcBorders>
        <w:shd w:val="clear" w:color="auto" w:fill="FCDFC0"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single" w:sz="8" w:space="0" w:color="CF4655"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nil"/>
          <w:insideV w:val="nil"/>
        </w:tcBorders>
        <w:shd w:val="clear" w:color="auto" w:fill="9F2936" w:themeFill="accent2"/>
      </w:tcPr>
    </w:tblStylePr>
    <w:tblStylePr w:type="lastRow">
      <w:pPr>
        <w:spacing w:before="0" w:after="0" w:line="240" w:lineRule="auto"/>
      </w:pPr>
      <w:rPr>
        <w:b/>
        <w:bCs/>
      </w:rPr>
      <w:tblPr/>
      <w:trPr>
        <w:hidden/>
      </w:trPr>
      <w:tcPr>
        <w:tcBorders>
          <w:top w:val="double" w:sz="6"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C2C6" w:themeFill="accent2" w:themeFillTint="3F"/>
      </w:tcPr>
    </w:tblStylePr>
    <w:tblStylePr w:type="band1Horz">
      <w:tblPr/>
      <w:trPr>
        <w:hidden/>
      </w:trPr>
      <w:tcPr>
        <w:tcBorders>
          <w:insideH w:val="nil"/>
          <w:insideV w:val="nil"/>
        </w:tcBorders>
        <w:shd w:val="clear" w:color="auto" w:fill="EFC2C6"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single" w:sz="8" w:space="0" w:color="2B8CC5"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nil"/>
          <w:insideV w:val="nil"/>
        </w:tcBorders>
        <w:shd w:val="clear" w:color="auto" w:fill="1B587C" w:themeFill="accent3"/>
      </w:tcPr>
    </w:tblStylePr>
    <w:tblStylePr w:type="lastRow">
      <w:pPr>
        <w:spacing w:before="0" w:after="0" w:line="240" w:lineRule="auto"/>
      </w:pPr>
      <w:rPr>
        <w:b/>
        <w:bCs/>
      </w:rPr>
      <w:tblPr/>
      <w:trPr>
        <w:hidden/>
      </w:trPr>
      <w:tcPr>
        <w:tcBorders>
          <w:top w:val="double" w:sz="6"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B5D9EF" w:themeFill="accent3" w:themeFillTint="3F"/>
      </w:tcPr>
    </w:tblStylePr>
    <w:tblStylePr w:type="band1Horz">
      <w:tblPr/>
      <w:trPr>
        <w:hidden/>
      </w:trPr>
      <w:tcPr>
        <w:tcBorders>
          <w:insideH w:val="nil"/>
          <w:insideV w:val="nil"/>
        </w:tcBorders>
        <w:shd w:val="clear" w:color="auto" w:fill="B5D9EF"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single" w:sz="8" w:space="0" w:color="71B163"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nil"/>
          <w:insideV w:val="nil"/>
        </w:tcBorders>
        <w:shd w:val="clear" w:color="auto" w:fill="4E8542" w:themeFill="accent4"/>
      </w:tcPr>
    </w:tblStylePr>
    <w:tblStylePr w:type="lastRow">
      <w:pPr>
        <w:spacing w:before="0" w:after="0" w:line="240" w:lineRule="auto"/>
      </w:pPr>
      <w:rPr>
        <w:b/>
        <w:bCs/>
      </w:rPr>
      <w:tblPr/>
      <w:trPr>
        <w:hidden/>
      </w:trPr>
      <w:tcPr>
        <w:tcBorders>
          <w:top w:val="double" w:sz="6"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0E5CB" w:themeFill="accent4" w:themeFillTint="3F"/>
      </w:tcPr>
    </w:tblStylePr>
    <w:tblStylePr w:type="band1Horz">
      <w:tblPr/>
      <w:trPr>
        <w:hidden/>
      </w:trPr>
      <w:tcPr>
        <w:tcBorders>
          <w:insideH w:val="nil"/>
          <w:insideV w:val="nil"/>
        </w:tcBorders>
        <w:shd w:val="clear" w:color="auto" w:fill="D0E5CB"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single" w:sz="8" w:space="0" w:color="876AA5"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nil"/>
          <w:insideV w:val="nil"/>
        </w:tcBorders>
        <w:shd w:val="clear" w:color="auto" w:fill="604878" w:themeFill="accent5"/>
      </w:tcPr>
    </w:tblStylePr>
    <w:tblStylePr w:type="lastRow">
      <w:pPr>
        <w:spacing w:before="0" w:after="0" w:line="240" w:lineRule="auto"/>
      </w:pPr>
      <w:rPr>
        <w:b/>
        <w:bCs/>
      </w:rPr>
      <w:tblPr/>
      <w:trPr>
        <w:hidden/>
      </w:trPr>
      <w:tcPr>
        <w:tcBorders>
          <w:top w:val="double" w:sz="6"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7CDE1" w:themeFill="accent5" w:themeFillTint="3F"/>
      </w:tcPr>
    </w:tblStylePr>
    <w:tblStylePr w:type="band1Horz">
      <w:tblPr/>
      <w:trPr>
        <w:hidden/>
      </w:trPr>
      <w:tcPr>
        <w:tcBorders>
          <w:insideH w:val="nil"/>
          <w:insideV w:val="nil"/>
        </w:tcBorders>
        <w:shd w:val="clear" w:color="auto" w:fill="D7CDE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single" w:sz="8" w:space="0" w:color="D0B182"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nil"/>
          <w:insideV w:val="nil"/>
        </w:tcBorders>
        <w:shd w:val="clear" w:color="auto" w:fill="C19859" w:themeFill="accent6"/>
      </w:tcPr>
    </w:tblStylePr>
    <w:tblStylePr w:type="lastRow">
      <w:pPr>
        <w:spacing w:before="0" w:after="0" w:line="240" w:lineRule="auto"/>
      </w:pPr>
      <w:rPr>
        <w:b/>
        <w:bCs/>
      </w:rPr>
      <w:tblPr/>
      <w:trPr>
        <w:hidden/>
      </w:trPr>
      <w:tcPr>
        <w:tcBorders>
          <w:top w:val="double" w:sz="6"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E5D6" w:themeFill="accent6" w:themeFillTint="3F"/>
      </w:tcPr>
    </w:tblStylePr>
    <w:tblStylePr w:type="band1Horz">
      <w:tblPr/>
      <w:trPr>
        <w:hidden/>
      </w:trPr>
      <w:tcPr>
        <w:tcBorders>
          <w:insideH w:val="nil"/>
          <w:insideV w:val="nil"/>
        </w:tcBorders>
        <w:shd w:val="clear" w:color="auto" w:fill="EFE5D6"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07F09"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07F09" w:themeFill="accent1"/>
      </w:tcPr>
    </w:tblStylePr>
    <w:tblStylePr w:type="lastCol">
      <w:rPr>
        <w:b/>
        <w:bCs/>
        <w:color w:val="FFFFFF" w:themeColor="background1"/>
      </w:rPr>
      <w:tblPr/>
      <w:trPr>
        <w:hidden/>
      </w:trPr>
      <w:tcPr>
        <w:tcBorders>
          <w:left w:val="nil"/>
          <w:right w:val="nil"/>
          <w:insideH w:val="nil"/>
          <w:insideV w:val="nil"/>
        </w:tcBorders>
        <w:shd w:val="clear" w:color="auto" w:fill="F07F09"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F2936"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F2936" w:themeFill="accent2"/>
      </w:tcPr>
    </w:tblStylePr>
    <w:tblStylePr w:type="lastCol">
      <w:rPr>
        <w:b/>
        <w:bCs/>
        <w:color w:val="FFFFFF" w:themeColor="background1"/>
      </w:rPr>
      <w:tblPr/>
      <w:trPr>
        <w:hidden/>
      </w:trPr>
      <w:tcPr>
        <w:tcBorders>
          <w:left w:val="nil"/>
          <w:right w:val="nil"/>
          <w:insideH w:val="nil"/>
          <w:insideV w:val="nil"/>
        </w:tcBorders>
        <w:shd w:val="clear" w:color="auto" w:fill="9F2936"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1B587C"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1B587C" w:themeFill="accent3"/>
      </w:tcPr>
    </w:tblStylePr>
    <w:tblStylePr w:type="lastCol">
      <w:rPr>
        <w:b/>
        <w:bCs/>
        <w:color w:val="FFFFFF" w:themeColor="background1"/>
      </w:rPr>
      <w:tblPr/>
      <w:trPr>
        <w:hidden/>
      </w:trPr>
      <w:tcPr>
        <w:tcBorders>
          <w:left w:val="nil"/>
          <w:right w:val="nil"/>
          <w:insideH w:val="nil"/>
          <w:insideV w:val="nil"/>
        </w:tcBorders>
        <w:shd w:val="clear" w:color="auto" w:fill="1B587C"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E854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E8542" w:themeFill="accent4"/>
      </w:tcPr>
    </w:tblStylePr>
    <w:tblStylePr w:type="lastCol">
      <w:rPr>
        <w:b/>
        <w:bCs/>
        <w:color w:val="FFFFFF" w:themeColor="background1"/>
      </w:rPr>
      <w:tblPr/>
      <w:trPr>
        <w:hidden/>
      </w:trPr>
      <w:tcPr>
        <w:tcBorders>
          <w:left w:val="nil"/>
          <w:right w:val="nil"/>
          <w:insideH w:val="nil"/>
          <w:insideV w:val="nil"/>
        </w:tcBorders>
        <w:shd w:val="clear" w:color="auto" w:fill="4E854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604878"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604878" w:themeFill="accent5"/>
      </w:tcPr>
    </w:tblStylePr>
    <w:tblStylePr w:type="lastCol">
      <w:rPr>
        <w:b/>
        <w:bCs/>
        <w:color w:val="FFFFFF" w:themeColor="background1"/>
      </w:rPr>
      <w:tblPr/>
      <w:trPr>
        <w:hidden/>
      </w:trPr>
      <w:tcPr>
        <w:tcBorders>
          <w:left w:val="nil"/>
          <w:right w:val="nil"/>
          <w:insideH w:val="nil"/>
          <w:insideV w:val="nil"/>
        </w:tcBorders>
        <w:shd w:val="clear" w:color="auto" w:fill="604878"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19859"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19859" w:themeFill="accent6"/>
      </w:tcPr>
    </w:tblStylePr>
    <w:tblStylePr w:type="lastCol">
      <w:rPr>
        <w:b/>
        <w:bCs/>
        <w:color w:val="FFFFFF" w:themeColor="background1"/>
      </w:rPr>
      <w:tblPr/>
      <w:trPr>
        <w:hidden/>
      </w:trPr>
      <w:tcPr>
        <w:tcBorders>
          <w:left w:val="nil"/>
          <w:right w:val="nil"/>
          <w:insideH w:val="nil"/>
          <w:insideV w:val="nil"/>
        </w:tcBorders>
        <w:shd w:val="clear" w:color="auto" w:fill="C19859"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table" w:customStyle="1" w:styleId="ListTable3-Accent11">
    <w:name w:val="List Table 3 - Accent 11"/>
    <w:basedOn w:val="TableNormal"/>
    <w:next w:val="ListTable3-Accent1"/>
    <w:uiPriority w:val="99"/>
    <w:rsid w:val="00606190"/>
    <w:pPr>
      <w:spacing w:after="0" w:line="240" w:lineRule="auto"/>
    </w:pPr>
    <w:rPr>
      <w:rFonts w:eastAsia="SimSun"/>
    </w:rPr>
    <w:tblPr>
      <w:tblStyleRowBandSize w:val="1"/>
      <w:tblStyleColBandSize w:val="1"/>
    </w:tblPr>
    <w:trPr>
      <w:hidden/>
    </w:trPr>
    <w:tblStylePr w:type="firstRow">
      <w:rPr>
        <w:b/>
        <w:bCs/>
        <w:color w:val="FFFFFF"/>
      </w:rPr>
      <w:tblPr/>
      <w:trPr>
        <w:hidden/>
      </w:trPr>
      <w:tcPr>
        <w:shd w:val="clear" w:color="auto" w:fill="4F81BD"/>
      </w:tcPr>
    </w:tblStylePr>
    <w:tblStylePr w:type="lastRow">
      <w:rPr>
        <w:b/>
        <w:bCs/>
      </w:rPr>
      <w:tblPr/>
      <w:trPr>
        <w:hidden/>
      </w:trPr>
      <w:tcPr>
        <w:tcBorders>
          <w:top w:val="double" w:sz="4" w:space="0" w:color="4F81BD"/>
        </w:tcBorders>
        <w:shd w:val="clear" w:color="auto" w:fill="FFFFFF"/>
      </w:tcPr>
    </w:tblStylePr>
    <w:tblStylePr w:type="firstCol">
      <w:rPr>
        <w:b/>
        <w:bCs/>
      </w:rPr>
      <w:tblPr/>
      <w:trPr>
        <w:hidden/>
      </w:trPr>
      <w:tcPr>
        <w:tcBorders>
          <w:right w:val="nil"/>
        </w:tcBorders>
        <w:shd w:val="clear" w:color="auto" w:fill="FFFFFF"/>
      </w:tcPr>
    </w:tblStylePr>
    <w:tblStylePr w:type="lastCol">
      <w:rPr>
        <w:b/>
        <w:bCs/>
      </w:rPr>
      <w:tblPr/>
      <w:trPr>
        <w:hidden/>
      </w:trPr>
      <w:tcPr>
        <w:tcBorders>
          <w:left w:val="nil"/>
        </w:tcBorders>
        <w:shd w:val="clear" w:color="auto" w:fill="FFFFFF"/>
      </w:tcPr>
    </w:tblStylePr>
    <w:tblStylePr w:type="band1Vert">
      <w:tblPr/>
      <w:trPr>
        <w:hidden/>
      </w:trPr>
      <w:tcPr>
        <w:tcBorders>
          <w:left w:val="single" w:sz="4" w:space="0" w:color="4F81BD"/>
          <w:right w:val="single" w:sz="4" w:space="0" w:color="4F81BD"/>
        </w:tcBorders>
      </w:tcPr>
    </w:tblStylePr>
    <w:tblStylePr w:type="band1Horz">
      <w:tblPr/>
      <w:trPr>
        <w:hidden/>
      </w:trPr>
      <w:tcPr>
        <w:tcBorders>
          <w:top w:val="single" w:sz="4" w:space="0" w:color="4F81BD"/>
          <w:bottom w:val="single" w:sz="4" w:space="0" w:color="4F81BD"/>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left w:val="nil"/>
        </w:tcBorders>
      </w:tcPr>
    </w:tblStylePr>
    <w:tblStylePr w:type="swCell">
      <w:tblPr/>
      <w:trPr>
        <w:hidden/>
      </w:trPr>
      <w:tcPr>
        <w:tcBorders>
          <w:top w:val="double" w:sz="4" w:space="0" w:color="4F81BD"/>
          <w:right w:val="nil"/>
        </w:tcBorders>
      </w:tcPr>
    </w:tblStylePr>
  </w:style>
  <w:style w:type="table" w:customStyle="1" w:styleId="ListTable4-Accent11">
    <w:name w:val="List Table 4 - Accent 11"/>
    <w:basedOn w:val="TableNormal"/>
    <w:next w:val="ListTable4-Accent1"/>
    <w:uiPriority w:val="99"/>
    <w:rsid w:val="00606190"/>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tblBorders>
    </w:tblPr>
    <w:trPr>
      <w:hidden/>
    </w:tr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tcBorders>
        <w:shd w:val="clear" w:color="auto" w:fill="F07F09" w:themeFill="accent1"/>
      </w:tcPr>
    </w:tblStylePr>
    <w:tblStylePr w:type="lastRow">
      <w:rPr>
        <w:b/>
        <w:bCs/>
      </w:rPr>
      <w:tblPr/>
      <w:trPr>
        <w:hidden/>
      </w:trPr>
      <w:tcPr>
        <w:tcBorders>
          <w:top w:val="doub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customStyle="1" w:styleId="1">
    <w:name w:val="网格型刘1"/>
    <w:basedOn w:val="TableNormal"/>
    <w:next w:val="TableGrid"/>
    <w:uiPriority w:val="99"/>
    <w:rsid w:val="00606190"/>
    <w:pPr>
      <w:spacing w:after="0" w:line="240" w:lineRule="auto"/>
    </w:pPr>
    <w:tblPr/>
    <w:trPr>
      <w:hidden/>
    </w:trPr>
  </w:style>
  <w:style w:type="table" w:customStyle="1" w:styleId="ColorfulGrid1">
    <w:name w:val="Colorful Grid1"/>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1">
    <w:name w:val="Colorful Grid - Accent 11"/>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1">
    <w:name w:val="Colorful Grid - Accent 21"/>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1">
    <w:name w:val="Colorful Grid - Accent 31"/>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1">
    <w:name w:val="Colorful Grid - Accent 41"/>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1">
    <w:name w:val="Colorful Grid - Accent 51"/>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1">
    <w:name w:val="Colorful Grid - Accent 61"/>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1">
    <w:name w:val="Colorful Shading1"/>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1">
    <w:name w:val="Colorful Shading - Accent 11"/>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1">
    <w:name w:val="Colorful Shading - Accent 21"/>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1">
    <w:name w:val="Colorful Shading - Accent 31"/>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1">
    <w:name w:val="Colorful Shading - Accent 41"/>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1">
    <w:name w:val="Colorful Shading - Accent 51"/>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1">
    <w:name w:val="Colorful Shading - Accent 61"/>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1">
    <w:name w:val="Dark List1"/>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1">
    <w:name w:val="Dark List - Accent 11"/>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1">
    <w:name w:val="Dark List - Accent 21"/>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1">
    <w:name w:val="Dark List - Accent 31"/>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1">
    <w:name w:val="Dark List - Accent 41"/>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1">
    <w:name w:val="Dark List - Accent 51"/>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1">
    <w:name w:val="Dark List - Accent 61"/>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1">
    <w:name w:val="Grid Table 1 Light1"/>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1">
    <w:name w:val="Grid Table 21"/>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1">
    <w:name w:val="Grid Table 2 - Accent 11"/>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1">
    <w:name w:val="Grid Table 2 - Accent 21"/>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1">
    <w:name w:val="Grid Table 2 - Accent 31"/>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1">
    <w:name w:val="Grid Table 2 - Accent 41"/>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1">
    <w:name w:val="Grid Table 2 - Accent 51"/>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1">
    <w:name w:val="Grid Table 2 - Accent 61"/>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1">
    <w:name w:val="Grid Table 41"/>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1">
    <w:name w:val="Grid Table 4 - Accent 11"/>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1">
    <w:name w:val="Grid Table 4 - Accent 21"/>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1">
    <w:name w:val="Grid Table 4 - Accent 31"/>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1">
    <w:name w:val="Grid Table 4 - Accent 41"/>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1">
    <w:name w:val="Grid Table 4 - Accent 51"/>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1">
    <w:name w:val="Grid Table 4 - Accent 61"/>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1">
    <w:name w:val="Grid Table 5 Dark1"/>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1">
    <w:name w:val="Grid Table 5 Dark - Accent 11"/>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1">
    <w:name w:val="Grid Table 5 Dark - Accent 21"/>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1">
    <w:name w:val="Grid Table 5 Dark - Accent 31"/>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1">
    <w:name w:val="Grid Table 5 Dark - Accent 41"/>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1">
    <w:name w:val="Grid Table 5 Dark - Accent 51"/>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1">
    <w:name w:val="Grid Table 5 Dark - Accent 61"/>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1">
    <w:name w:val="Light List1"/>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1">
    <w:name w:val="Light List - Accent 11"/>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1">
    <w:name w:val="Light List - Accent 21"/>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1">
    <w:name w:val="Light List - Accent 31"/>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1">
    <w:name w:val="Light List - Accent 41"/>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1">
    <w:name w:val="Light List - Accent 51"/>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1">
    <w:name w:val="Light List - Accent 61"/>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1">
    <w:name w:val="Light Shading - Accent 41"/>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1">
    <w:name w:val="Light Shading - Accent 51"/>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1">
    <w:name w:val="Light Shading - Accent 61"/>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1">
    <w:name w:val="List Table 1 Light1"/>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1">
    <w:name w:val="List Table 1 Light - Accent 11"/>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1">
    <w:name w:val="List Table 1 Light - Accent 21"/>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1">
    <w:name w:val="List Table 1 Light - Accent 31"/>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1">
    <w:name w:val="List Table 1 Light - Accent 41"/>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1">
    <w:name w:val="List Table 1 Light - Accent 51"/>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1">
    <w:name w:val="List Table 1 Light - Accent 61"/>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1">
    <w:name w:val="List Table 21"/>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1">
    <w:name w:val="List Table 2 - Accent 11"/>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1">
    <w:name w:val="List Table 2 - Accent 21"/>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1">
    <w:name w:val="List Table 2 - Accent 31"/>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1">
    <w:name w:val="List Table 2 - Accent 41"/>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1">
    <w:name w:val="List Table 2 - Accent 51"/>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1">
    <w:name w:val="List Table 2 - Accent 61"/>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1">
    <w:name w:val="List Table 31"/>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2">
    <w:name w:val="List Table 3 - Accent 12"/>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1">
    <w:name w:val="List Table 3 - Accent 21"/>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1">
    <w:name w:val="List Table 3 - Accent 31"/>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1">
    <w:name w:val="List Table 3 - Accent 41"/>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1">
    <w:name w:val="List Table 3 - Accent 51"/>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1">
    <w:name w:val="List Table 3 - Accent 61"/>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1">
    <w:name w:val="List Table 41"/>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2">
    <w:name w:val="List Table 4 - Accent 12"/>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1">
    <w:name w:val="List Table 4 - Accent 21"/>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1">
    <w:name w:val="List Table 4 - Accent 31"/>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1">
    <w:name w:val="List Table 4 - Accent 41"/>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1">
    <w:name w:val="List Table 4 - Accent 51"/>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1">
    <w:name w:val="List Table 4 - Accent 61"/>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1">
    <w:name w:val="List Table 5 Dark1"/>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1">
    <w:name w:val="List Table 5 Dark - Accent 21"/>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1">
    <w:name w:val="List Table 5 Dark - Accent 31"/>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1">
    <w:name w:val="List Table 5 Dark - Accent 41"/>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1">
    <w:name w:val="List Table 5 Dark - Accent 51"/>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1">
    <w:name w:val="List Table 5 Dark - Accent 61"/>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1">
    <w:name w:val="List Table 6 Colorful1"/>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1">
    <w:name w:val="List Table 6 Colorful - Accent 11"/>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1">
    <w:name w:val="List Table 6 Colorful - Accent 21"/>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1">
    <w:name w:val="List Table 6 Colorful - Accent 31"/>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1">
    <w:name w:val="List Table 6 Colorful - Accent 41"/>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1">
    <w:name w:val="List Table 6 Colorful - Accent 51"/>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1">
    <w:name w:val="List Table 6 Colorful - Accent 61"/>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1">
    <w:name w:val="List Table 7 Colorful1"/>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1">
    <w:name w:val="List Table 7 Colorful - Accent 11"/>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1">
    <w:name w:val="List Table 7 Colorful - Accent 21"/>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1">
    <w:name w:val="List Table 7 Colorful - Accent 31"/>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1">
    <w:name w:val="List Table 7 Colorful - Accent 41"/>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1">
    <w:name w:val="List Table 7 Colorful - Accent 51"/>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1">
    <w:name w:val="List Table 7 Colorful - Accent 61"/>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1">
    <w:name w:val="Medium Grid 11"/>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1">
    <w:name w:val="Medium Grid 1 - Accent 11"/>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1">
    <w:name w:val="Medium Grid 1 - Accent 21"/>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1">
    <w:name w:val="Medium Grid 1 - Accent 31"/>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1">
    <w:name w:val="Medium Grid 1 - Accent 41"/>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1">
    <w:name w:val="Medium Grid 1 - Accent 51"/>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1">
    <w:name w:val="Medium Grid 1 - Accent 61"/>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1">
    <w:name w:val="Medium Grid 21"/>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1">
    <w:name w:val="Medium Grid 2 - Accent 11"/>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1">
    <w:name w:val="Medium Grid 2 - Accent 21"/>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1">
    <w:name w:val="Medium Grid 2 - Accent 31"/>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1">
    <w:name w:val="Medium Grid 2 - Accent 41"/>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1">
    <w:name w:val="Medium Grid 2 - Accent 51"/>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1">
    <w:name w:val="Medium Grid 2 - Accent 61"/>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1">
    <w:name w:val="Medium Grid 31"/>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1">
    <w:name w:val="Medium Grid 3 - Accent 11"/>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1">
    <w:name w:val="Medium Grid 3 - Accent 21"/>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1">
    <w:name w:val="Medium Grid 3 - Accent 31"/>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1">
    <w:name w:val="Medium Grid 3 - Accent 41"/>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1">
    <w:name w:val="Medium Grid 3 - Accent 51"/>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1">
    <w:name w:val="Medium Grid 3 - Accent 61"/>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1">
    <w:name w:val="Medium List 11"/>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1">
    <w:name w:val="Medium List 1 - Accent 11"/>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1">
    <w:name w:val="Medium List 1 - Accent 21"/>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1">
    <w:name w:val="Medium List 1 - Accent 31"/>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1">
    <w:name w:val="Medium List 1 - Accent 41"/>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1">
    <w:name w:val="Medium List 1 - Accent 51"/>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1">
    <w:name w:val="Medium List 1 - Accent 61"/>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1">
    <w:name w:val="Medium List 21"/>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1">
    <w:name w:val="Medium List 2 - Accent 11"/>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1">
    <w:name w:val="Medium List 2 - Accent 21"/>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1">
    <w:name w:val="Medium List 2 - Accent 31"/>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1">
    <w:name w:val="Medium List 2 - Accent 41"/>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1">
    <w:name w:val="Medium List 2 - Accent 51"/>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1">
    <w:name w:val="Medium List 2 - Accent 61"/>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1">
    <w:name w:val="Medium Shading 11"/>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1">
    <w:name w:val="Medium Shading 1 - Accent 11"/>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1">
    <w:name w:val="Medium Shading 1 - Accent 21"/>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1">
    <w:name w:val="Medium Shading 1 - Accent 31"/>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1">
    <w:name w:val="Medium Shading 1 - Accent 41"/>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1">
    <w:name w:val="Medium Shading 1 - Accent 51"/>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1">
    <w:name w:val="Medium Shading 1 - Accent 61"/>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1">
    <w:name w:val="Medium Shading 21"/>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1">
    <w:name w:val="Medium Shading 2 - Accent 11"/>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1">
    <w:name w:val="Medium Shading 2 - Accent 21"/>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1">
    <w:name w:val="Medium Shading 2 - Accent 31"/>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1">
    <w:name w:val="Medium Shading 2 - Accent 41"/>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1">
    <w:name w:val="Medium Shading 2 - Accent 51"/>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1">
    <w:name w:val="Medium Shading 2 - Accent 61"/>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1">
    <w:name w:val="Plain Table 11"/>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1">
    <w:name w:val="Plain Table 21"/>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1">
    <w:name w:val="Plain Table 31"/>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1">
    <w:name w:val="Plain Table 41"/>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1">
    <w:name w:val="Plain Table 51"/>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1">
    <w:name w:val="Table 3D effects 11"/>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1">
    <w:name w:val="Table 3D effects 21"/>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1">
    <w:name w:val="Table 3D effects 31"/>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1">
    <w:name w:val="Table Classic 11"/>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1">
    <w:name w:val="Table Classic 21"/>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1">
    <w:name w:val="Table Classic 31"/>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1">
    <w:name w:val="Table Classic 41"/>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1">
    <w:name w:val="Table Colorful 11"/>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1">
    <w:name w:val="Table Colorful 21"/>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1">
    <w:name w:val="Table Colorful 31"/>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1">
    <w:name w:val="Table Columns 11"/>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1">
    <w:name w:val="Table Columns 21"/>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1">
    <w:name w:val="Table Columns 31"/>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1">
    <w:name w:val="Table Columns 41"/>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1">
    <w:name w:val="Table Columns 51"/>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1">
    <w:name w:val="Table Contemporary1"/>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1">
    <w:name w:val="Table Elegant1"/>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1">
    <w:name w:val="Table Grid 11"/>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1">
    <w:name w:val="Table Grid 21"/>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1">
    <w:name w:val="Table Grid 31"/>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1">
    <w:name w:val="Table Grid 41"/>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1">
    <w:name w:val="Table Grid 51"/>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1">
    <w:name w:val="Table Grid 61"/>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1">
    <w:name w:val="Table Grid 71"/>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1">
    <w:name w:val="Table Grid 81"/>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1">
    <w:name w:val="Table Grid Light1"/>
    <w:basedOn w:val="TableNormal"/>
    <w:next w:val="TableGridLight"/>
    <w:uiPriority w:val="99"/>
    <w:rsid w:val="00606190"/>
    <w:pPr>
      <w:spacing w:after="0" w:line="240" w:lineRule="auto"/>
    </w:pPr>
    <w:tblPr/>
    <w:trPr>
      <w:hidden/>
    </w:trPr>
  </w:style>
  <w:style w:type="table" w:customStyle="1" w:styleId="TableList11">
    <w:name w:val="Table List 11"/>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1">
    <w:name w:val="Table List 21"/>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1">
    <w:name w:val="Table List 31"/>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1">
    <w:name w:val="Table List 41"/>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1">
    <w:name w:val="Table List 51"/>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1">
    <w:name w:val="Table List 61"/>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1">
    <w:name w:val="Table List 71"/>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1">
    <w:name w:val="Table List 81"/>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1">
    <w:name w:val="Table Professional1"/>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1">
    <w:name w:val="Table Simple 11"/>
    <w:basedOn w:val="TableNormal"/>
    <w:next w:val="TableSimple1"/>
    <w:uiPriority w:val="99"/>
    <w:semiHidden/>
    <w:unhideWhenUsed/>
    <w:rsid w:val="00606190"/>
    <w:pPr>
      <w:spacing w:after="0" w:line="240" w:lineRule="auto"/>
    </w:pPr>
    <w:tblPr/>
    <w:trPr>
      <w:hidden/>
    </w:trPr>
  </w:style>
  <w:style w:type="table" w:customStyle="1" w:styleId="TableSimple21">
    <w:name w:val="Table Simple 21"/>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1">
    <w:name w:val="Table Simple 31"/>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1">
    <w:name w:val="Table Subtle 11"/>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1">
    <w:name w:val="Table Subtle 21"/>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1">
    <w:name w:val="Table Theme1"/>
    <w:basedOn w:val="TableNormal"/>
    <w:next w:val="TableTheme"/>
    <w:uiPriority w:val="99"/>
    <w:semiHidden/>
    <w:unhideWhenUsed/>
    <w:rsid w:val="00606190"/>
    <w:pPr>
      <w:spacing w:after="0" w:line="240" w:lineRule="auto"/>
    </w:pPr>
    <w:tblPr/>
    <w:trPr>
      <w:hidden/>
    </w:trPr>
  </w:style>
  <w:style w:type="table" w:customStyle="1" w:styleId="TableWeb11">
    <w:name w:val="Table Web 11"/>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1">
    <w:name w:val="Table Web 21"/>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1">
    <w:name w:val="Table Web 31"/>
    <w:basedOn w:val="TableNormal"/>
    <w:next w:val="TableWeb3"/>
    <w:uiPriority w:val="99"/>
    <w:semiHidden/>
    <w:unhideWhenUsed/>
    <w:rsid w:val="00606190"/>
    <w:pPr>
      <w:spacing w:after="0" w:line="240" w:lineRule="auto"/>
    </w:pPr>
    <w:tblPr/>
    <w:trPr>
      <w:hidden/>
    </w:trPr>
    <w:tblStylePr w:type="firstRow">
      <w:rPr>
        <w:color w:val="auto"/>
      </w:rPr>
    </w:tblStylePr>
  </w:style>
  <w:style w:type="paragraph" w:customStyle="1" w:styleId="ftrefChar1">
    <w:name w:val="ftref Char1"/>
    <w:aliases w:val="16 Point Char,Superscript 6 Point Char,Ref Char,de nota al pie Char,Fußnotenzeichen DISS Char,(NECG) Footnote Reference Char,fr Char1,Footnote Ref in FtNote Char,ftref Char Char Char,ftref Знак Char,ftref Char Знак Char,Ref Ch,ftref Char"/>
    <w:basedOn w:val="Normal"/>
    <w:link w:val="FootnoteReference"/>
    <w:rsid w:val="00606190"/>
    <w:pPr>
      <w:autoSpaceDE w:val="0"/>
      <w:autoSpaceDN w:val="0"/>
      <w:jc w:val="both"/>
    </w:pPr>
    <w:rPr>
      <w:vertAlign w:val="superscript"/>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locked/>
    <w:rsid w:val="00606190"/>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35"/>
    <w:rsid w:val="00606190"/>
    <w:rPr>
      <w:b/>
      <w:bCs/>
      <w:smallCaps/>
      <w:color w:val="323232" w:themeColor="text2"/>
    </w:rPr>
  </w:style>
  <w:style w:type="paragraph" w:customStyle="1" w:styleId="Default">
    <w:name w:val="Default"/>
    <w:rsid w:val="00606190"/>
    <w:pPr>
      <w:autoSpaceDE w:val="0"/>
      <w:autoSpaceDN w:val="0"/>
      <w:adjustRightInd w:val="0"/>
      <w:spacing w:after="0" w:line="240" w:lineRule="auto"/>
    </w:pPr>
    <w:rPr>
      <w:rFonts w:ascii="Arial" w:eastAsiaTheme="minorHAnsi" w:hAnsi="Arial" w:cs="Arial"/>
      <w:color w:val="000000"/>
      <w:sz w:val="24"/>
      <w:szCs w:val="24"/>
      <w:lang w:eastAsia="en-US"/>
      <w14:ligatures w14:val="standardContextual"/>
    </w:rPr>
  </w:style>
  <w:style w:type="character" w:customStyle="1" w:styleId="NormalWebChar1">
    <w:name w:val="Normal (Web) Char1"/>
    <w:aliases w:val="Normal (Web) Char Char"/>
    <w:basedOn w:val="DefaultParagraphFont"/>
    <w:link w:val="NormalWeb"/>
    <w:uiPriority w:val="99"/>
    <w:rsid w:val="00606190"/>
    <w:rPr>
      <w:rFonts w:ascii="Times New Roman" w:hAnsi="Times New Roman" w:cs="Times New Roman"/>
      <w:sz w:val="24"/>
      <w:szCs w:val="24"/>
      <w:lang w:val="en-GB"/>
    </w:rPr>
  </w:style>
  <w:style w:type="table" w:customStyle="1" w:styleId="StyleESIA2">
    <w:name w:val="Style ESIA 2"/>
    <w:basedOn w:val="TableNormal"/>
    <w:uiPriority w:val="99"/>
    <w:rsid w:val="00606190"/>
    <w:pPr>
      <w:spacing w:after="0" w:line="240" w:lineRule="auto"/>
    </w:pPr>
    <w:tblPr/>
    <w:trPr>
      <w:hidden/>
    </w:trPr>
    <w:tblStylePr w:type="firstRow">
      <w:pPr>
        <w:jc w:val="left"/>
      </w:pPr>
      <w:rPr>
        <w:b/>
        <w:color w:val="FFFFFF"/>
      </w:rPr>
    </w:tblStylePr>
  </w:style>
  <w:style w:type="table" w:customStyle="1" w:styleId="StyleESIA21">
    <w:name w:val="Style ESIA 21"/>
    <w:basedOn w:val="TableNormal"/>
    <w:uiPriority w:val="99"/>
    <w:rsid w:val="00606190"/>
    <w:pPr>
      <w:spacing w:after="0" w:line="240" w:lineRule="auto"/>
    </w:pPr>
    <w:tblPr/>
    <w:trPr>
      <w:hidden/>
    </w:trPr>
    <w:tblStylePr w:type="firstRow">
      <w:pPr>
        <w:jc w:val="left"/>
      </w:pPr>
      <w:rPr>
        <w:b/>
        <w:color w:val="FFFFFF"/>
      </w:rPr>
    </w:tblStylePr>
  </w:style>
  <w:style w:type="paragraph" w:styleId="Revision">
    <w:name w:val="Revision"/>
    <w:hidden/>
    <w:uiPriority w:val="99"/>
    <w:semiHidden/>
    <w:rsid w:val="00606190"/>
    <w:pPr>
      <w:spacing w:after="0" w:line="240" w:lineRule="auto"/>
    </w:pPr>
    <w:rPr>
      <w:rFonts w:ascii="Arial" w:hAnsi="Arial" w:cs="Arial"/>
      <w:sz w:val="18"/>
      <w:szCs w:val="18"/>
      <w:lang w:val="en-GB"/>
    </w:rPr>
  </w:style>
  <w:style w:type="table" w:customStyle="1" w:styleId="StyleESIA1">
    <w:name w:val="Style ESIA 1"/>
    <w:basedOn w:val="TableNormal"/>
    <w:uiPriority w:val="99"/>
    <w:rsid w:val="00606190"/>
    <w:pPr>
      <w:spacing w:after="0" w:line="240" w:lineRule="auto"/>
    </w:pPr>
    <w:tblPr>
      <w:tblStyleRowBandSize w:val="1"/>
    </w:tblPr>
    <w:trPr>
      <w:hidden/>
    </w:trPr>
    <w:tcPr>
      <w:tcBorders>
        <w:top w:val="single" w:sz="18" w:space="0" w:color="009FDA"/>
        <w:bottom w:val="single" w:sz="18" w:space="0" w:color="009FDA"/>
      </w:tcBorders>
      <w:shd w:val="clear" w:color="auto" w:fill="E1F7FF"/>
      <w:vAlign w:val="center"/>
    </w:tcPr>
    <w:tblStylePr w:type="firstRow">
      <w:rPr>
        <w:b/>
      </w:rPr>
    </w:tblStylePr>
  </w:style>
  <w:style w:type="paragraph" w:customStyle="1" w:styleId="TableParagraph">
    <w:name w:val="Table Paragraph"/>
    <w:basedOn w:val="Normal"/>
    <w:uiPriority w:val="1"/>
    <w:rsid w:val="00606190"/>
    <w:pPr>
      <w:widowControl w:val="0"/>
      <w:autoSpaceDE w:val="0"/>
      <w:autoSpaceDN w:val="0"/>
    </w:pPr>
    <w:rPr>
      <w:rFonts w:ascii="Times New Roman" w:eastAsia="Times New Roman" w:hAnsi="Times New Roman" w:cs="Times New Roman"/>
      <w:lang w:eastAsia="en-US"/>
    </w:rPr>
  </w:style>
  <w:style w:type="numbering" w:customStyle="1" w:styleId="ERMNumLIst">
    <w:name w:val="ERMNumLIst"/>
    <w:uiPriority w:val="99"/>
    <w:rsid w:val="00606190"/>
    <w:pPr>
      <w:numPr>
        <w:numId w:val="19"/>
      </w:numPr>
    </w:pPr>
  </w:style>
  <w:style w:type="paragraph" w:customStyle="1" w:styleId="ListNumberalpha">
    <w:name w:val="List Number alpha"/>
    <w:basedOn w:val="BodyText"/>
    <w:uiPriority w:val="99"/>
    <w:rsid w:val="00606190"/>
    <w:pPr>
      <w:spacing w:before="120" w:after="60" w:line="260" w:lineRule="atLeast"/>
    </w:pPr>
    <w:rPr>
      <w:sz w:val="20"/>
      <w:szCs w:val="20"/>
      <w:lang w:eastAsia="en-US"/>
    </w:rPr>
  </w:style>
  <w:style w:type="paragraph" w:customStyle="1" w:styleId="ListNumberroman">
    <w:name w:val="List Number roman"/>
    <w:basedOn w:val="BodyText"/>
    <w:uiPriority w:val="99"/>
    <w:rsid w:val="00606190"/>
    <w:pPr>
      <w:spacing w:before="120" w:after="60" w:line="260" w:lineRule="atLeast"/>
    </w:pPr>
    <w:rPr>
      <w:sz w:val="20"/>
      <w:szCs w:val="20"/>
      <w:lang w:eastAsia="en-US"/>
    </w:rPr>
  </w:style>
  <w:style w:type="numbering" w:customStyle="1" w:styleId="ERMBulletList">
    <w:name w:val="ERMBulletList"/>
    <w:uiPriority w:val="99"/>
    <w:rsid w:val="00606190"/>
    <w:pPr>
      <w:numPr>
        <w:numId w:val="20"/>
      </w:numPr>
    </w:pPr>
  </w:style>
  <w:style w:type="numbering" w:customStyle="1" w:styleId="ERMBulletList11">
    <w:name w:val="ERMBulletList11"/>
    <w:uiPriority w:val="99"/>
    <w:rsid w:val="00606190"/>
    <w:pPr>
      <w:numPr>
        <w:numId w:val="21"/>
      </w:numPr>
    </w:pPr>
  </w:style>
  <w:style w:type="paragraph" w:customStyle="1" w:styleId="CarCar1CarCarCarCarCarCarCarCarCarCarCarCarCharCharCarCarCharCharCarCarCharCharCarCarCharCharCarCar">
    <w:name w:val="Car Car1 Car Car Car Car Car Car Car Car Car Car Car Car Char Char Car Car Char Char Car Car Char Char Car Car Char Char Car Car"/>
    <w:basedOn w:val="Caption"/>
    <w:rsid w:val="00606190"/>
    <w:pPr>
      <w:spacing w:before="40" w:after="40"/>
      <w:jc w:val="center"/>
    </w:pPr>
    <w:rPr>
      <w:b w:val="0"/>
      <w:szCs w:val="24"/>
      <w:vertAlign w:val="superscript"/>
      <w:lang w:eastAsia="en-AU"/>
    </w:rPr>
  </w:style>
  <w:style w:type="paragraph" w:customStyle="1" w:styleId="Tableheadingleft">
    <w:name w:val="Table heading left"/>
    <w:basedOn w:val="Normal"/>
    <w:link w:val="TableheadingleftChar"/>
    <w:rsid w:val="00606190"/>
    <w:pPr>
      <w:overflowPunct w:val="0"/>
      <w:autoSpaceDE w:val="0"/>
      <w:autoSpaceDN w:val="0"/>
      <w:adjustRightInd w:val="0"/>
      <w:spacing w:before="40"/>
      <w:textAlignment w:val="baseline"/>
    </w:pPr>
    <w:rPr>
      <w:b/>
      <w:szCs w:val="20"/>
      <w:lang w:eastAsia="en-US"/>
    </w:rPr>
  </w:style>
  <w:style w:type="character" w:customStyle="1" w:styleId="TableheadingleftChar">
    <w:name w:val="Table heading left Char"/>
    <w:basedOn w:val="DefaultParagraphFont"/>
    <w:link w:val="Tableheadingleft"/>
    <w:rsid w:val="00606190"/>
    <w:rPr>
      <w:rFonts w:cs="Arial"/>
      <w:b/>
      <w:sz w:val="18"/>
      <w:szCs w:val="20"/>
      <w:lang w:eastAsia="en-US"/>
    </w:rPr>
  </w:style>
  <w:style w:type="paragraph" w:customStyle="1" w:styleId="Tableheadingcentered">
    <w:name w:val="Table heading centered"/>
    <w:basedOn w:val="Normal"/>
    <w:rsid w:val="00606190"/>
    <w:pPr>
      <w:overflowPunct w:val="0"/>
      <w:autoSpaceDE w:val="0"/>
      <w:autoSpaceDN w:val="0"/>
      <w:adjustRightInd w:val="0"/>
      <w:spacing w:before="40"/>
      <w:jc w:val="center"/>
      <w:textAlignment w:val="baseline"/>
    </w:pPr>
    <w:rPr>
      <w:b/>
      <w:szCs w:val="20"/>
      <w:lang w:eastAsia="en-US"/>
    </w:rPr>
  </w:style>
  <w:style w:type="character" w:customStyle="1" w:styleId="normaltextrun">
    <w:name w:val="normaltextrun"/>
    <w:basedOn w:val="DefaultParagraphFont"/>
    <w:rsid w:val="00606190"/>
  </w:style>
  <w:style w:type="character" w:customStyle="1" w:styleId="eop">
    <w:name w:val="eop"/>
    <w:basedOn w:val="DefaultParagraphFont"/>
    <w:rsid w:val="00606190"/>
  </w:style>
  <w:style w:type="paragraph" w:customStyle="1" w:styleId="Style1">
    <w:name w:val="Style1"/>
    <w:basedOn w:val="Heading4"/>
    <w:link w:val="Style1Char"/>
    <w:uiPriority w:val="1"/>
    <w:rsid w:val="00D174DD"/>
  </w:style>
  <w:style w:type="character" w:customStyle="1" w:styleId="Style1Char">
    <w:name w:val="Style1 Char"/>
    <w:basedOn w:val="Heading4Char"/>
    <w:link w:val="Style1"/>
    <w:uiPriority w:val="1"/>
    <w:rsid w:val="00D174DD"/>
    <w:rPr>
      <w:rFonts w:ascii="Arial" w:eastAsiaTheme="majorEastAsia" w:hAnsi="Arial" w:cs="Arial"/>
      <w:b w:val="0"/>
      <w:color w:val="0F204B"/>
      <w:sz w:val="24"/>
      <w:szCs w:val="18"/>
      <w:lang w:val="en-GB"/>
    </w:rPr>
  </w:style>
  <w:style w:type="table" w:customStyle="1" w:styleId="GridTable4-Accent12">
    <w:name w:val="Grid Table 4 - Accent 12"/>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2">
    <w:name w:val="网格型刘2"/>
    <w:basedOn w:val="TableNormal"/>
    <w:next w:val="TableGrid"/>
    <w:uiPriority w:val="99"/>
    <w:rsid w:val="00606190"/>
    <w:pPr>
      <w:spacing w:after="0" w:line="240" w:lineRule="auto"/>
    </w:pPr>
    <w:tblPr/>
    <w:trPr>
      <w:hidden/>
    </w:trPr>
  </w:style>
  <w:style w:type="table" w:customStyle="1" w:styleId="3">
    <w:name w:val="网格型刘3"/>
    <w:basedOn w:val="TableNormal"/>
    <w:next w:val="TableGrid"/>
    <w:uiPriority w:val="99"/>
    <w:rsid w:val="00606190"/>
    <w:pPr>
      <w:spacing w:after="0" w:line="240" w:lineRule="auto"/>
    </w:pPr>
    <w:tblPr/>
    <w:trPr>
      <w:hidden/>
    </w:trPr>
  </w:style>
  <w:style w:type="table" w:customStyle="1" w:styleId="GridTable4-Accent13">
    <w:name w:val="Grid Table 4 - Accent 13"/>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4">
    <w:name w:val="网格型刘4"/>
    <w:basedOn w:val="TableNormal"/>
    <w:next w:val="TableGrid"/>
    <w:uiPriority w:val="99"/>
    <w:rsid w:val="00606190"/>
    <w:pPr>
      <w:spacing w:after="0" w:line="240" w:lineRule="auto"/>
    </w:pPr>
    <w:tblPr/>
    <w:trPr>
      <w:hidden/>
    </w:trPr>
  </w:style>
  <w:style w:type="table" w:customStyle="1" w:styleId="ColorfulGrid2">
    <w:name w:val="Colorful Grid2"/>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2">
    <w:name w:val="Colorful Grid - Accent 12"/>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2">
    <w:name w:val="Colorful Grid - Accent 22"/>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2">
    <w:name w:val="Colorful Grid - Accent 32"/>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2">
    <w:name w:val="Colorful Grid - Accent 42"/>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2">
    <w:name w:val="Colorful Grid - Accent 52"/>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2">
    <w:name w:val="Colorful Grid - Accent 62"/>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2">
    <w:name w:val="Colorful Shading2"/>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2">
    <w:name w:val="Colorful Shading - Accent 12"/>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2">
    <w:name w:val="Colorful Shading - Accent 22"/>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2">
    <w:name w:val="Colorful Shading - Accent 32"/>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2">
    <w:name w:val="Colorful Shading - Accent 42"/>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2">
    <w:name w:val="Colorful Shading - Accent 52"/>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2">
    <w:name w:val="Colorful Shading - Accent 62"/>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2">
    <w:name w:val="Dark List2"/>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2">
    <w:name w:val="Dark List - Accent 12"/>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2">
    <w:name w:val="Dark List - Accent 22"/>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2">
    <w:name w:val="Dark List - Accent 32"/>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2">
    <w:name w:val="Dark List - Accent 42"/>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2">
    <w:name w:val="Dark List - Accent 52"/>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2">
    <w:name w:val="Dark List - Accent 62"/>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2">
    <w:name w:val="Grid Table 1 Light2"/>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2">
    <w:name w:val="Grid Table 1 Light - Accent 12"/>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2">
    <w:name w:val="Grid Table 1 Light - Accent 22"/>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2">
    <w:name w:val="Grid Table 1 Light - Accent 32"/>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2">
    <w:name w:val="Grid Table 22"/>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2">
    <w:name w:val="Grid Table 2 - Accent 12"/>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2">
    <w:name w:val="Grid Table 2 - Accent 22"/>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2">
    <w:name w:val="Grid Table 2 - Accent 32"/>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2">
    <w:name w:val="Grid Table 2 - Accent 42"/>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2">
    <w:name w:val="Grid Table 2 - Accent 52"/>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2">
    <w:name w:val="Grid Table 2 - Accent 62"/>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2">
    <w:name w:val="Grid Table 42"/>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4">
    <w:name w:val="Grid Table 4 - Accent 14"/>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2">
    <w:name w:val="Grid Table 4 - Accent 22"/>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2">
    <w:name w:val="Grid Table 4 - Accent 32"/>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2">
    <w:name w:val="Grid Table 4 - Accent 42"/>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2">
    <w:name w:val="Grid Table 4 - Accent 52"/>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2">
    <w:name w:val="Grid Table 4 - Accent 62"/>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2">
    <w:name w:val="Grid Table 5 Dark2"/>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2">
    <w:name w:val="Grid Table 5 Dark - Accent 12"/>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2">
    <w:name w:val="Grid Table 5 Dark - Accent 22"/>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2">
    <w:name w:val="Grid Table 5 Dark - Accent 32"/>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2">
    <w:name w:val="Grid Table 5 Dark - Accent 42"/>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2">
    <w:name w:val="Grid Table 5 Dark - Accent 52"/>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2">
    <w:name w:val="Grid Table 5 Dark - Accent 62"/>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2">
    <w:name w:val="Light List2"/>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2">
    <w:name w:val="Light List - Accent 12"/>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2">
    <w:name w:val="Light List - Accent 22"/>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2">
    <w:name w:val="Light List - Accent 32"/>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2">
    <w:name w:val="Light List - Accent 42"/>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2">
    <w:name w:val="Light List - Accent 52"/>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2">
    <w:name w:val="Light List - Accent 62"/>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2">
    <w:name w:val="Light Shading - Accent 42"/>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2">
    <w:name w:val="Light Shading - Accent 52"/>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2">
    <w:name w:val="Light Shading - Accent 62"/>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2">
    <w:name w:val="List Table 1 Light2"/>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2">
    <w:name w:val="List Table 1 Light - Accent 12"/>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2">
    <w:name w:val="List Table 1 Light - Accent 22"/>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2">
    <w:name w:val="List Table 1 Light - Accent 32"/>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2">
    <w:name w:val="List Table 1 Light - Accent 42"/>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2">
    <w:name w:val="List Table 1 Light - Accent 52"/>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2">
    <w:name w:val="List Table 1 Light - Accent 62"/>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2">
    <w:name w:val="List Table 22"/>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2">
    <w:name w:val="List Table 2 - Accent 12"/>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2">
    <w:name w:val="List Table 2 - Accent 22"/>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2">
    <w:name w:val="List Table 2 - Accent 32"/>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2">
    <w:name w:val="List Table 2 - Accent 42"/>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2">
    <w:name w:val="List Table 2 - Accent 52"/>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2">
    <w:name w:val="List Table 2 - Accent 62"/>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2">
    <w:name w:val="List Table 32"/>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3">
    <w:name w:val="List Table 3 - Accent 13"/>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2">
    <w:name w:val="List Table 3 - Accent 22"/>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2">
    <w:name w:val="List Table 3 - Accent 32"/>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2">
    <w:name w:val="List Table 3 - Accent 42"/>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2">
    <w:name w:val="List Table 3 - Accent 52"/>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2">
    <w:name w:val="List Table 3 - Accent 62"/>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2">
    <w:name w:val="List Table 42"/>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3">
    <w:name w:val="List Table 4 - Accent 13"/>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2">
    <w:name w:val="List Table 4 - Accent 22"/>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2">
    <w:name w:val="List Table 4 - Accent 32"/>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2">
    <w:name w:val="List Table 4 - Accent 42"/>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2">
    <w:name w:val="List Table 4 - Accent 52"/>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2">
    <w:name w:val="List Table 4 - Accent 62"/>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2">
    <w:name w:val="List Table 5 Dark2"/>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2">
    <w:name w:val="List Table 5 Dark - Accent 12"/>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2">
    <w:name w:val="List Table 5 Dark - Accent 22"/>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2">
    <w:name w:val="List Table 5 Dark - Accent 32"/>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2">
    <w:name w:val="List Table 5 Dark - Accent 42"/>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2">
    <w:name w:val="List Table 5 Dark - Accent 52"/>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2">
    <w:name w:val="List Table 5 Dark - Accent 62"/>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2">
    <w:name w:val="List Table 6 Colorful2"/>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2">
    <w:name w:val="List Table 6 Colorful - Accent 12"/>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2">
    <w:name w:val="List Table 6 Colorful - Accent 22"/>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2">
    <w:name w:val="List Table 6 Colorful - Accent 32"/>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2">
    <w:name w:val="List Table 6 Colorful - Accent 42"/>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2">
    <w:name w:val="List Table 6 Colorful - Accent 52"/>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2">
    <w:name w:val="List Table 6 Colorful - Accent 62"/>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2">
    <w:name w:val="List Table 7 Colorful2"/>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2">
    <w:name w:val="List Table 7 Colorful - Accent 12"/>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2">
    <w:name w:val="List Table 7 Colorful - Accent 22"/>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2">
    <w:name w:val="List Table 7 Colorful - Accent 32"/>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2">
    <w:name w:val="List Table 7 Colorful - Accent 42"/>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2">
    <w:name w:val="List Table 7 Colorful - Accent 52"/>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2">
    <w:name w:val="List Table 7 Colorful - Accent 62"/>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2">
    <w:name w:val="Medium Grid 12"/>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2">
    <w:name w:val="Medium Grid 1 - Accent 12"/>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2">
    <w:name w:val="Medium Grid 1 - Accent 22"/>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2">
    <w:name w:val="Medium Grid 1 - Accent 32"/>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2">
    <w:name w:val="Medium Grid 1 - Accent 42"/>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2">
    <w:name w:val="Medium Grid 1 - Accent 52"/>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2">
    <w:name w:val="Medium Grid 1 - Accent 62"/>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2">
    <w:name w:val="Medium Grid 22"/>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2">
    <w:name w:val="Medium Grid 2 - Accent 12"/>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2">
    <w:name w:val="Medium Grid 2 - Accent 22"/>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2">
    <w:name w:val="Medium Grid 2 - Accent 32"/>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2">
    <w:name w:val="Medium Grid 2 - Accent 42"/>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2">
    <w:name w:val="Medium Grid 2 - Accent 52"/>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2">
    <w:name w:val="Medium Grid 2 - Accent 62"/>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2">
    <w:name w:val="Medium Grid 32"/>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2">
    <w:name w:val="Medium Grid 3 - Accent 12"/>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2">
    <w:name w:val="Medium Grid 3 - Accent 22"/>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2">
    <w:name w:val="Medium Grid 3 - Accent 32"/>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2">
    <w:name w:val="Medium Grid 3 - Accent 42"/>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2">
    <w:name w:val="Medium Grid 3 - Accent 52"/>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2">
    <w:name w:val="Medium Grid 3 - Accent 62"/>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2">
    <w:name w:val="Medium List 12"/>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2">
    <w:name w:val="Medium List 1 - Accent 12"/>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2">
    <w:name w:val="Medium List 1 - Accent 22"/>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2">
    <w:name w:val="Medium List 1 - Accent 32"/>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2">
    <w:name w:val="Medium List 1 - Accent 42"/>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2">
    <w:name w:val="Medium List 1 - Accent 52"/>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2">
    <w:name w:val="Medium List 1 - Accent 62"/>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2">
    <w:name w:val="Medium List 22"/>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2">
    <w:name w:val="Medium List 2 - Accent 12"/>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2">
    <w:name w:val="Medium List 2 - Accent 22"/>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2">
    <w:name w:val="Medium List 2 - Accent 32"/>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2">
    <w:name w:val="Medium List 2 - Accent 42"/>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2">
    <w:name w:val="Medium List 2 - Accent 52"/>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2">
    <w:name w:val="Medium List 2 - Accent 62"/>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2">
    <w:name w:val="Medium Shading 12"/>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2">
    <w:name w:val="Medium Shading 1 - Accent 12"/>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2">
    <w:name w:val="Medium Shading 1 - Accent 22"/>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2">
    <w:name w:val="Medium Shading 1 - Accent 32"/>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2">
    <w:name w:val="Medium Shading 1 - Accent 42"/>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2">
    <w:name w:val="Medium Shading 1 - Accent 52"/>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2">
    <w:name w:val="Medium Shading 1 - Accent 62"/>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2">
    <w:name w:val="Medium Shading 22"/>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2">
    <w:name w:val="Medium Shading 2 - Accent 12"/>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2">
    <w:name w:val="Medium Shading 2 - Accent 22"/>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2">
    <w:name w:val="Medium Shading 2 - Accent 32"/>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2">
    <w:name w:val="Medium Shading 2 - Accent 42"/>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2">
    <w:name w:val="Medium Shading 2 - Accent 52"/>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2">
    <w:name w:val="Medium Shading 2 - Accent 62"/>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2">
    <w:name w:val="Plain Table 12"/>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2">
    <w:name w:val="Plain Table 22"/>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2">
    <w:name w:val="Plain Table 32"/>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2">
    <w:name w:val="Plain Table 42"/>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2">
    <w:name w:val="Plain Table 52"/>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2">
    <w:name w:val="Table 3D effects 12"/>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2">
    <w:name w:val="Table 3D effects 22"/>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2">
    <w:name w:val="Table 3D effects 32"/>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2">
    <w:name w:val="Table Classic 12"/>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2">
    <w:name w:val="Table Classic 22"/>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2">
    <w:name w:val="Table Classic 32"/>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2">
    <w:name w:val="Table Classic 42"/>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2">
    <w:name w:val="Table Colorful 12"/>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2">
    <w:name w:val="Table Colorful 22"/>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2">
    <w:name w:val="Table Colorful 32"/>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2">
    <w:name w:val="Table Columns 12"/>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2">
    <w:name w:val="Table Columns 22"/>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2">
    <w:name w:val="Table Columns 32"/>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2">
    <w:name w:val="Table Columns 42"/>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2">
    <w:name w:val="Table Columns 52"/>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2">
    <w:name w:val="Table Contemporary2"/>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2">
    <w:name w:val="Table Elegant2"/>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2">
    <w:name w:val="Table Grid 12"/>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2">
    <w:name w:val="Table Grid 22"/>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2">
    <w:name w:val="Table Grid 32"/>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2">
    <w:name w:val="Table Grid 42"/>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2">
    <w:name w:val="Table Grid 52"/>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2">
    <w:name w:val="Table Grid 62"/>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2">
    <w:name w:val="Table Grid 72"/>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2">
    <w:name w:val="Table Grid 82"/>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2">
    <w:name w:val="Table Grid Light2"/>
    <w:basedOn w:val="TableNormal"/>
    <w:next w:val="TableGridLight"/>
    <w:uiPriority w:val="99"/>
    <w:rsid w:val="00606190"/>
    <w:pPr>
      <w:spacing w:after="0" w:line="240" w:lineRule="auto"/>
    </w:pPr>
    <w:tblPr/>
    <w:trPr>
      <w:hidden/>
    </w:trPr>
  </w:style>
  <w:style w:type="table" w:customStyle="1" w:styleId="TableList12">
    <w:name w:val="Table List 12"/>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2">
    <w:name w:val="Table List 22"/>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2">
    <w:name w:val="Table List 32"/>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2">
    <w:name w:val="Table List 42"/>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2">
    <w:name w:val="Table List 52"/>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2">
    <w:name w:val="Table List 62"/>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2">
    <w:name w:val="Table List 72"/>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2">
    <w:name w:val="Table List 82"/>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2">
    <w:name w:val="Table Professional2"/>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2">
    <w:name w:val="Table Simple 12"/>
    <w:basedOn w:val="TableNormal"/>
    <w:next w:val="TableSimple1"/>
    <w:uiPriority w:val="99"/>
    <w:semiHidden/>
    <w:unhideWhenUsed/>
    <w:rsid w:val="00606190"/>
    <w:pPr>
      <w:spacing w:after="0" w:line="240" w:lineRule="auto"/>
    </w:pPr>
    <w:tblPr/>
    <w:trPr>
      <w:hidden/>
    </w:trPr>
  </w:style>
  <w:style w:type="table" w:customStyle="1" w:styleId="TableSimple22">
    <w:name w:val="Table Simple 22"/>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2">
    <w:name w:val="Table Simple 32"/>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2">
    <w:name w:val="Table Subtle 12"/>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2">
    <w:name w:val="Table Subtle 22"/>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2">
    <w:name w:val="Table Theme2"/>
    <w:basedOn w:val="TableNormal"/>
    <w:next w:val="TableTheme"/>
    <w:uiPriority w:val="99"/>
    <w:semiHidden/>
    <w:unhideWhenUsed/>
    <w:rsid w:val="00606190"/>
    <w:pPr>
      <w:spacing w:after="0" w:line="240" w:lineRule="auto"/>
    </w:pPr>
    <w:tblPr/>
    <w:trPr>
      <w:hidden/>
    </w:trPr>
  </w:style>
  <w:style w:type="table" w:customStyle="1" w:styleId="TableWeb12">
    <w:name w:val="Table Web 12"/>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2">
    <w:name w:val="Table Web 22"/>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2">
    <w:name w:val="Table Web 32"/>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1">
    <w:name w:val="ERMNumLIst1"/>
    <w:uiPriority w:val="99"/>
    <w:rsid w:val="00606190"/>
  </w:style>
  <w:style w:type="numbering" w:customStyle="1" w:styleId="ERMBulletList1">
    <w:name w:val="ERMBulletList1"/>
    <w:uiPriority w:val="99"/>
    <w:rsid w:val="00606190"/>
  </w:style>
  <w:style w:type="numbering" w:customStyle="1" w:styleId="ERMBulletList111">
    <w:name w:val="ERMBulletList111"/>
    <w:uiPriority w:val="99"/>
    <w:rsid w:val="00606190"/>
  </w:style>
  <w:style w:type="table" w:customStyle="1" w:styleId="TableGridLight3">
    <w:name w:val="Table Grid Light3"/>
    <w:basedOn w:val="TableNormal"/>
    <w:next w:val="TableGridLight"/>
    <w:uiPriority w:val="99"/>
    <w:rsid w:val="00606190"/>
    <w:pPr>
      <w:spacing w:after="0" w:line="240" w:lineRule="auto"/>
    </w:pPr>
    <w:tblPr/>
    <w:trPr>
      <w:hidden/>
    </w:trPr>
  </w:style>
  <w:style w:type="table" w:customStyle="1" w:styleId="5">
    <w:name w:val="网格型刘5"/>
    <w:basedOn w:val="TableNormal"/>
    <w:next w:val="TableGrid"/>
    <w:uiPriority w:val="99"/>
    <w:rsid w:val="00606190"/>
    <w:pPr>
      <w:spacing w:after="0" w:line="240" w:lineRule="auto"/>
    </w:pPr>
    <w:tblPr/>
    <w:trPr>
      <w:hidden/>
    </w:trPr>
  </w:style>
  <w:style w:type="table" w:customStyle="1" w:styleId="ColorfulGrid3">
    <w:name w:val="Colorful Grid3"/>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3">
    <w:name w:val="Colorful Grid - Accent 13"/>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3">
    <w:name w:val="Colorful Grid - Accent 23"/>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3">
    <w:name w:val="Colorful Grid - Accent 33"/>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3">
    <w:name w:val="Colorful Grid - Accent 43"/>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3">
    <w:name w:val="Colorful Grid - Accent 53"/>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3">
    <w:name w:val="Colorful Grid - Accent 63"/>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3">
    <w:name w:val="Colorful Shading3"/>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3">
    <w:name w:val="Colorful Shading - Accent 13"/>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3">
    <w:name w:val="Colorful Shading - Accent 23"/>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3">
    <w:name w:val="Colorful Shading - Accent 33"/>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3">
    <w:name w:val="Colorful Shading - Accent 43"/>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3">
    <w:name w:val="Colorful Shading - Accent 53"/>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3">
    <w:name w:val="Colorful Shading - Accent 63"/>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3">
    <w:name w:val="Dark List3"/>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3">
    <w:name w:val="Dark List - Accent 13"/>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3">
    <w:name w:val="Dark List - Accent 23"/>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3">
    <w:name w:val="Dark List - Accent 33"/>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3">
    <w:name w:val="Dark List - Accent 43"/>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3">
    <w:name w:val="Dark List - Accent 53"/>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3">
    <w:name w:val="Dark List - Accent 63"/>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3">
    <w:name w:val="Grid Table 1 Light3"/>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3">
    <w:name w:val="Grid Table 1 Light - Accent 23"/>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3">
    <w:name w:val="Grid Table 1 Light - Accent 33"/>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3">
    <w:name w:val="Grid Table 23"/>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3">
    <w:name w:val="Grid Table 2 - Accent 13"/>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3">
    <w:name w:val="Grid Table 2 - Accent 23"/>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3">
    <w:name w:val="Grid Table 2 - Accent 33"/>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3">
    <w:name w:val="Grid Table 2 - Accent 43"/>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3">
    <w:name w:val="Grid Table 2 - Accent 53"/>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3">
    <w:name w:val="Grid Table 2 - Accent 63"/>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3">
    <w:name w:val="Grid Table 43"/>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5">
    <w:name w:val="Grid Table 4 - Accent 15"/>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3">
    <w:name w:val="Grid Table 4 - Accent 23"/>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3">
    <w:name w:val="Grid Table 4 - Accent 33"/>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3">
    <w:name w:val="Grid Table 4 - Accent 43"/>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3">
    <w:name w:val="Grid Table 4 - Accent 53"/>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3">
    <w:name w:val="Grid Table 4 - Accent 63"/>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3">
    <w:name w:val="Grid Table 5 Dark3"/>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3">
    <w:name w:val="Grid Table 5 Dark - Accent 13"/>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3">
    <w:name w:val="Grid Table 5 Dark - Accent 23"/>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3">
    <w:name w:val="Grid Table 5 Dark - Accent 33"/>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3">
    <w:name w:val="Grid Table 5 Dark - Accent 43"/>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3">
    <w:name w:val="Grid Table 5 Dark - Accent 53"/>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3">
    <w:name w:val="Grid Table 5 Dark - Accent 63"/>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3">
    <w:name w:val="Light List3"/>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3">
    <w:name w:val="Light List - Accent 13"/>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3">
    <w:name w:val="Light List - Accent 23"/>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3">
    <w:name w:val="Light List - Accent 33"/>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3">
    <w:name w:val="Light List - Accent 43"/>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3">
    <w:name w:val="Light List - Accent 53"/>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3">
    <w:name w:val="Light List - Accent 63"/>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3">
    <w:name w:val="Light Shading - Accent 43"/>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3">
    <w:name w:val="Light Shading - Accent 53"/>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3">
    <w:name w:val="Light Shading - Accent 63"/>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3">
    <w:name w:val="List Table 1 Light3"/>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3">
    <w:name w:val="List Table 1 Light - Accent 13"/>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3">
    <w:name w:val="List Table 1 Light - Accent 23"/>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3">
    <w:name w:val="List Table 1 Light - Accent 33"/>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3">
    <w:name w:val="List Table 1 Light - Accent 43"/>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3">
    <w:name w:val="List Table 1 Light - Accent 53"/>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3">
    <w:name w:val="List Table 1 Light - Accent 63"/>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3">
    <w:name w:val="List Table 23"/>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3">
    <w:name w:val="List Table 2 - Accent 13"/>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3">
    <w:name w:val="List Table 2 - Accent 23"/>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3">
    <w:name w:val="List Table 2 - Accent 33"/>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3">
    <w:name w:val="List Table 2 - Accent 43"/>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3">
    <w:name w:val="List Table 2 - Accent 53"/>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3">
    <w:name w:val="List Table 2 - Accent 63"/>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3">
    <w:name w:val="List Table 33"/>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4">
    <w:name w:val="List Table 3 - Accent 14"/>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3">
    <w:name w:val="List Table 3 - Accent 23"/>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3">
    <w:name w:val="List Table 3 - Accent 33"/>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3">
    <w:name w:val="List Table 3 - Accent 43"/>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3">
    <w:name w:val="List Table 3 - Accent 53"/>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3">
    <w:name w:val="List Table 3 - Accent 63"/>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3">
    <w:name w:val="List Table 43"/>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4">
    <w:name w:val="List Table 4 - Accent 14"/>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3">
    <w:name w:val="List Table 4 - Accent 23"/>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3">
    <w:name w:val="List Table 4 - Accent 33"/>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3">
    <w:name w:val="List Table 4 - Accent 43"/>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3">
    <w:name w:val="List Table 4 - Accent 53"/>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3">
    <w:name w:val="List Table 4 - Accent 63"/>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3">
    <w:name w:val="List Table 5 Dark3"/>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3">
    <w:name w:val="List Table 5 Dark - Accent 13"/>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3">
    <w:name w:val="List Table 5 Dark - Accent 23"/>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3">
    <w:name w:val="List Table 5 Dark - Accent 33"/>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3">
    <w:name w:val="List Table 5 Dark - Accent 43"/>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3">
    <w:name w:val="List Table 5 Dark - Accent 53"/>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3">
    <w:name w:val="List Table 5 Dark - Accent 63"/>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3">
    <w:name w:val="List Table 6 Colorful3"/>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3">
    <w:name w:val="List Table 6 Colorful - Accent 13"/>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3">
    <w:name w:val="List Table 6 Colorful - Accent 23"/>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3">
    <w:name w:val="List Table 6 Colorful - Accent 33"/>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3">
    <w:name w:val="List Table 6 Colorful - Accent 43"/>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3">
    <w:name w:val="List Table 6 Colorful - Accent 53"/>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3">
    <w:name w:val="List Table 6 Colorful - Accent 63"/>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3">
    <w:name w:val="List Table 7 Colorful3"/>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3">
    <w:name w:val="List Table 7 Colorful - Accent 13"/>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3">
    <w:name w:val="List Table 7 Colorful - Accent 23"/>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3">
    <w:name w:val="List Table 7 Colorful - Accent 33"/>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3">
    <w:name w:val="List Table 7 Colorful - Accent 43"/>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3">
    <w:name w:val="List Table 7 Colorful - Accent 53"/>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3">
    <w:name w:val="List Table 7 Colorful - Accent 63"/>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3">
    <w:name w:val="Medium Grid 13"/>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3">
    <w:name w:val="Medium Grid 1 - Accent 13"/>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3">
    <w:name w:val="Medium Grid 1 - Accent 23"/>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3">
    <w:name w:val="Medium Grid 1 - Accent 33"/>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3">
    <w:name w:val="Medium Grid 1 - Accent 43"/>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3">
    <w:name w:val="Medium Grid 1 - Accent 53"/>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3">
    <w:name w:val="Medium Grid 1 - Accent 63"/>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3">
    <w:name w:val="Medium Grid 23"/>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3">
    <w:name w:val="Medium Grid 2 - Accent 13"/>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3">
    <w:name w:val="Medium Grid 2 - Accent 23"/>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3">
    <w:name w:val="Medium Grid 2 - Accent 33"/>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3">
    <w:name w:val="Medium Grid 2 - Accent 43"/>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3">
    <w:name w:val="Medium Grid 2 - Accent 53"/>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3">
    <w:name w:val="Medium Grid 2 - Accent 63"/>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3">
    <w:name w:val="Medium Grid 33"/>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3">
    <w:name w:val="Medium Grid 3 - Accent 13"/>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3">
    <w:name w:val="Medium Grid 3 - Accent 23"/>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3">
    <w:name w:val="Medium Grid 3 - Accent 33"/>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3">
    <w:name w:val="Medium Grid 3 - Accent 43"/>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3">
    <w:name w:val="Medium Grid 3 - Accent 53"/>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3">
    <w:name w:val="Medium Grid 3 - Accent 63"/>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3">
    <w:name w:val="Medium List 13"/>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3">
    <w:name w:val="Medium List 1 - Accent 13"/>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3">
    <w:name w:val="Medium List 1 - Accent 23"/>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3">
    <w:name w:val="Medium List 1 - Accent 33"/>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3">
    <w:name w:val="Medium List 1 - Accent 43"/>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3">
    <w:name w:val="Medium List 1 - Accent 53"/>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3">
    <w:name w:val="Medium List 1 - Accent 63"/>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3">
    <w:name w:val="Medium List 23"/>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3">
    <w:name w:val="Medium List 2 - Accent 13"/>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3">
    <w:name w:val="Medium List 2 - Accent 23"/>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3">
    <w:name w:val="Medium List 2 - Accent 33"/>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3">
    <w:name w:val="Medium List 2 - Accent 43"/>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3">
    <w:name w:val="Medium List 2 - Accent 53"/>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3">
    <w:name w:val="Medium List 2 - Accent 63"/>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3">
    <w:name w:val="Medium Shading 13"/>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3">
    <w:name w:val="Medium Shading 1 - Accent 13"/>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3">
    <w:name w:val="Medium Shading 1 - Accent 23"/>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3">
    <w:name w:val="Medium Shading 1 - Accent 33"/>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3">
    <w:name w:val="Medium Shading 1 - Accent 43"/>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3">
    <w:name w:val="Medium Shading 1 - Accent 53"/>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3">
    <w:name w:val="Medium Shading 1 - Accent 63"/>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3">
    <w:name w:val="Medium Shading 23"/>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3">
    <w:name w:val="Medium Shading 2 - Accent 13"/>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3">
    <w:name w:val="Medium Shading 2 - Accent 23"/>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3">
    <w:name w:val="Medium Shading 2 - Accent 33"/>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3">
    <w:name w:val="Medium Shading 2 - Accent 43"/>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3">
    <w:name w:val="Medium Shading 2 - Accent 53"/>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3">
    <w:name w:val="Medium Shading 2 - Accent 63"/>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3">
    <w:name w:val="Plain Table 13"/>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3">
    <w:name w:val="Plain Table 23"/>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3">
    <w:name w:val="Plain Table 33"/>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3">
    <w:name w:val="Plain Table 43"/>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3">
    <w:name w:val="Plain Table 53"/>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3">
    <w:name w:val="Table 3D effects 13"/>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3">
    <w:name w:val="Table 3D effects 23"/>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3">
    <w:name w:val="Table 3D effects 33"/>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3">
    <w:name w:val="Table Classic 13"/>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3">
    <w:name w:val="Table Classic 23"/>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3">
    <w:name w:val="Table Classic 33"/>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3">
    <w:name w:val="Table Classic 43"/>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3">
    <w:name w:val="Table Colorful 13"/>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3">
    <w:name w:val="Table Colorful 23"/>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3">
    <w:name w:val="Table Colorful 33"/>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3">
    <w:name w:val="Table Columns 13"/>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3">
    <w:name w:val="Table Columns 23"/>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3">
    <w:name w:val="Table Columns 33"/>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3">
    <w:name w:val="Table Columns 43"/>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3">
    <w:name w:val="Table Columns 53"/>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3">
    <w:name w:val="Table Contemporary3"/>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3">
    <w:name w:val="Table Elegant3"/>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3">
    <w:name w:val="Table Grid 13"/>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3">
    <w:name w:val="Table Grid 23"/>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3">
    <w:name w:val="Table Grid 33"/>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3">
    <w:name w:val="Table Grid 43"/>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3">
    <w:name w:val="Table Grid 53"/>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3">
    <w:name w:val="Table Grid 63"/>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3">
    <w:name w:val="Table Grid 73"/>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3">
    <w:name w:val="Table Grid 83"/>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4">
    <w:name w:val="Table Grid Light4"/>
    <w:basedOn w:val="TableNormal"/>
    <w:next w:val="TableGridLight"/>
    <w:uiPriority w:val="99"/>
    <w:rsid w:val="00606190"/>
    <w:pPr>
      <w:spacing w:after="0" w:line="240" w:lineRule="auto"/>
    </w:pPr>
    <w:tblPr/>
    <w:trPr>
      <w:hidden/>
    </w:trPr>
  </w:style>
  <w:style w:type="table" w:customStyle="1" w:styleId="TableList13">
    <w:name w:val="Table List 13"/>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3">
    <w:name w:val="Table List 23"/>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3">
    <w:name w:val="Table List 33"/>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3">
    <w:name w:val="Table List 43"/>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3">
    <w:name w:val="Table List 53"/>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3">
    <w:name w:val="Table List 63"/>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3">
    <w:name w:val="Table List 73"/>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3">
    <w:name w:val="Table List 83"/>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3">
    <w:name w:val="Table Professional3"/>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3">
    <w:name w:val="Table Simple 13"/>
    <w:basedOn w:val="TableNormal"/>
    <w:next w:val="TableSimple1"/>
    <w:uiPriority w:val="99"/>
    <w:semiHidden/>
    <w:unhideWhenUsed/>
    <w:rsid w:val="00606190"/>
    <w:pPr>
      <w:spacing w:after="0" w:line="240" w:lineRule="auto"/>
    </w:pPr>
    <w:tblPr/>
    <w:trPr>
      <w:hidden/>
    </w:trPr>
  </w:style>
  <w:style w:type="table" w:customStyle="1" w:styleId="TableSimple23">
    <w:name w:val="Table Simple 23"/>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3">
    <w:name w:val="Table Simple 33"/>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3">
    <w:name w:val="Table Subtle 13"/>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3">
    <w:name w:val="Table Subtle 23"/>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3">
    <w:name w:val="Table Theme3"/>
    <w:basedOn w:val="TableNormal"/>
    <w:next w:val="TableTheme"/>
    <w:uiPriority w:val="99"/>
    <w:semiHidden/>
    <w:unhideWhenUsed/>
    <w:rsid w:val="00606190"/>
    <w:pPr>
      <w:spacing w:after="0" w:line="240" w:lineRule="auto"/>
    </w:pPr>
    <w:tblPr/>
    <w:trPr>
      <w:hidden/>
    </w:trPr>
  </w:style>
  <w:style w:type="table" w:customStyle="1" w:styleId="TableWeb13">
    <w:name w:val="Table Web 13"/>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3">
    <w:name w:val="Table Web 23"/>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3">
    <w:name w:val="Table Web 33"/>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2">
    <w:name w:val="ERMNumLIst2"/>
    <w:uiPriority w:val="99"/>
    <w:rsid w:val="00606190"/>
  </w:style>
  <w:style w:type="numbering" w:customStyle="1" w:styleId="ERMBulletList2">
    <w:name w:val="ERMBulletList2"/>
    <w:uiPriority w:val="99"/>
    <w:rsid w:val="00606190"/>
  </w:style>
  <w:style w:type="numbering" w:customStyle="1" w:styleId="ERMBulletList112">
    <w:name w:val="ERMBulletList112"/>
    <w:uiPriority w:val="99"/>
    <w:rsid w:val="00606190"/>
  </w:style>
  <w:style w:type="table" w:customStyle="1" w:styleId="6">
    <w:name w:val="网格型刘6"/>
    <w:basedOn w:val="TableNormal"/>
    <w:next w:val="TableGrid"/>
    <w:uiPriority w:val="99"/>
    <w:rsid w:val="00606190"/>
    <w:pPr>
      <w:spacing w:after="0" w:line="240" w:lineRule="auto"/>
    </w:pPr>
    <w:tblPr/>
    <w:trPr>
      <w:hidden/>
    </w:trPr>
  </w:style>
  <w:style w:type="table" w:customStyle="1" w:styleId="ColorfulGrid4">
    <w:name w:val="Colorful Grid4"/>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4">
    <w:name w:val="Colorful Grid - Accent 14"/>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4">
    <w:name w:val="Colorful Grid - Accent 24"/>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4">
    <w:name w:val="Colorful Grid - Accent 34"/>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4">
    <w:name w:val="Colorful Grid - Accent 44"/>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4">
    <w:name w:val="Colorful Grid - Accent 54"/>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4">
    <w:name w:val="Colorful Grid - Accent 64"/>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4">
    <w:name w:val="Colorful Shading4"/>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4">
    <w:name w:val="Colorful Shading - Accent 14"/>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4">
    <w:name w:val="Colorful Shading - Accent 24"/>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4">
    <w:name w:val="Colorful Shading - Accent 34"/>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4">
    <w:name w:val="Colorful Shading - Accent 44"/>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4">
    <w:name w:val="Colorful Shading - Accent 54"/>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4">
    <w:name w:val="Colorful Shading - Accent 64"/>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4">
    <w:name w:val="Dark List4"/>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4">
    <w:name w:val="Dark List - Accent 14"/>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4">
    <w:name w:val="Dark List - Accent 24"/>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4">
    <w:name w:val="Dark List - Accent 34"/>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4">
    <w:name w:val="Dark List - Accent 44"/>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4">
    <w:name w:val="Dark List - Accent 54"/>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4">
    <w:name w:val="Dark List - Accent 64"/>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4">
    <w:name w:val="Grid Table 1 Light4"/>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4">
    <w:name w:val="Grid Table 1 Light - Accent 14"/>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4">
    <w:name w:val="Grid Table 1 Light - Accent 24"/>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4">
    <w:name w:val="Grid Table 1 Light - Accent 34"/>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4">
    <w:name w:val="Grid Table 24"/>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4">
    <w:name w:val="Grid Table 2 - Accent 14"/>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4">
    <w:name w:val="Grid Table 2 - Accent 24"/>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4">
    <w:name w:val="Grid Table 2 - Accent 34"/>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4">
    <w:name w:val="Grid Table 2 - Accent 44"/>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4">
    <w:name w:val="Grid Table 2 - Accent 54"/>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4">
    <w:name w:val="Grid Table 2 - Accent 64"/>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4">
    <w:name w:val="Grid Table 44"/>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6">
    <w:name w:val="Grid Table 4 - Accent 16"/>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4">
    <w:name w:val="Grid Table 4 - Accent 24"/>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4">
    <w:name w:val="Grid Table 4 - Accent 34"/>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4">
    <w:name w:val="Grid Table 4 - Accent 44"/>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4">
    <w:name w:val="Grid Table 4 - Accent 54"/>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4">
    <w:name w:val="Grid Table 4 - Accent 64"/>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4">
    <w:name w:val="Grid Table 5 Dark4"/>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4">
    <w:name w:val="Grid Table 5 Dark - Accent 14"/>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4">
    <w:name w:val="Grid Table 5 Dark - Accent 24"/>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4">
    <w:name w:val="Grid Table 5 Dark - Accent 34"/>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4">
    <w:name w:val="Grid Table 5 Dark - Accent 44"/>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4">
    <w:name w:val="Grid Table 5 Dark - Accent 54"/>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4">
    <w:name w:val="Grid Table 5 Dark - Accent 64"/>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4">
    <w:name w:val="Light List4"/>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4">
    <w:name w:val="Light List - Accent 14"/>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4">
    <w:name w:val="Light List - Accent 24"/>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4">
    <w:name w:val="Light List - Accent 34"/>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4">
    <w:name w:val="Light List - Accent 44"/>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4">
    <w:name w:val="Light List - Accent 54"/>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4">
    <w:name w:val="Light List - Accent 64"/>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4">
    <w:name w:val="Light Shading - Accent 44"/>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4">
    <w:name w:val="Light Shading - Accent 54"/>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4">
    <w:name w:val="Light Shading - Accent 64"/>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4">
    <w:name w:val="List Table 1 Light4"/>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4">
    <w:name w:val="List Table 1 Light - Accent 14"/>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4">
    <w:name w:val="List Table 1 Light - Accent 24"/>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4">
    <w:name w:val="List Table 1 Light - Accent 34"/>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4">
    <w:name w:val="List Table 1 Light - Accent 44"/>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4">
    <w:name w:val="List Table 1 Light - Accent 54"/>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4">
    <w:name w:val="List Table 1 Light - Accent 64"/>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4">
    <w:name w:val="List Table 24"/>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4">
    <w:name w:val="List Table 2 - Accent 14"/>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4">
    <w:name w:val="List Table 2 - Accent 24"/>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4">
    <w:name w:val="List Table 2 - Accent 34"/>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4">
    <w:name w:val="List Table 2 - Accent 44"/>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4">
    <w:name w:val="List Table 2 - Accent 54"/>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4">
    <w:name w:val="List Table 2 - Accent 64"/>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4">
    <w:name w:val="List Table 34"/>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5">
    <w:name w:val="List Table 3 - Accent 15"/>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4">
    <w:name w:val="List Table 3 - Accent 24"/>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4">
    <w:name w:val="List Table 3 - Accent 34"/>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4">
    <w:name w:val="List Table 3 - Accent 44"/>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4">
    <w:name w:val="List Table 3 - Accent 54"/>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4">
    <w:name w:val="List Table 3 - Accent 64"/>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4">
    <w:name w:val="List Table 44"/>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5">
    <w:name w:val="List Table 4 - Accent 15"/>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4">
    <w:name w:val="List Table 4 - Accent 24"/>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4">
    <w:name w:val="List Table 4 - Accent 34"/>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4">
    <w:name w:val="List Table 4 - Accent 44"/>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4">
    <w:name w:val="List Table 4 - Accent 54"/>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4">
    <w:name w:val="List Table 4 - Accent 64"/>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4">
    <w:name w:val="List Table 5 Dark4"/>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4">
    <w:name w:val="List Table 5 Dark - Accent 14"/>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4">
    <w:name w:val="List Table 5 Dark - Accent 24"/>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4">
    <w:name w:val="List Table 5 Dark - Accent 34"/>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4">
    <w:name w:val="List Table 5 Dark - Accent 44"/>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4">
    <w:name w:val="List Table 5 Dark - Accent 54"/>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4">
    <w:name w:val="List Table 5 Dark - Accent 64"/>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4">
    <w:name w:val="List Table 6 Colorful4"/>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4">
    <w:name w:val="List Table 6 Colorful - Accent 14"/>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4">
    <w:name w:val="List Table 6 Colorful - Accent 24"/>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4">
    <w:name w:val="List Table 6 Colorful - Accent 34"/>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4">
    <w:name w:val="List Table 6 Colorful - Accent 44"/>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4">
    <w:name w:val="List Table 6 Colorful - Accent 54"/>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4">
    <w:name w:val="List Table 6 Colorful - Accent 64"/>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4">
    <w:name w:val="List Table 7 Colorful4"/>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4">
    <w:name w:val="List Table 7 Colorful - Accent 14"/>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4">
    <w:name w:val="List Table 7 Colorful - Accent 24"/>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4">
    <w:name w:val="List Table 7 Colorful - Accent 34"/>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4">
    <w:name w:val="List Table 7 Colorful - Accent 44"/>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4">
    <w:name w:val="List Table 7 Colorful - Accent 54"/>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4">
    <w:name w:val="List Table 7 Colorful - Accent 64"/>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4">
    <w:name w:val="Medium Grid 14"/>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4">
    <w:name w:val="Medium Grid 1 - Accent 14"/>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4">
    <w:name w:val="Medium Grid 1 - Accent 24"/>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4">
    <w:name w:val="Medium Grid 1 - Accent 34"/>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4">
    <w:name w:val="Medium Grid 1 - Accent 44"/>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4">
    <w:name w:val="Medium Grid 1 - Accent 54"/>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4">
    <w:name w:val="Medium Grid 1 - Accent 64"/>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4">
    <w:name w:val="Medium Grid 24"/>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4">
    <w:name w:val="Medium Grid 2 - Accent 14"/>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4">
    <w:name w:val="Medium Grid 2 - Accent 24"/>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4">
    <w:name w:val="Medium Grid 2 - Accent 34"/>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4">
    <w:name w:val="Medium Grid 2 - Accent 44"/>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4">
    <w:name w:val="Medium Grid 2 - Accent 54"/>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4">
    <w:name w:val="Medium Grid 2 - Accent 64"/>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4">
    <w:name w:val="Medium Grid 34"/>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4">
    <w:name w:val="Medium Grid 3 - Accent 14"/>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4">
    <w:name w:val="Medium Grid 3 - Accent 24"/>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4">
    <w:name w:val="Medium Grid 3 - Accent 34"/>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4">
    <w:name w:val="Medium Grid 3 - Accent 44"/>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4">
    <w:name w:val="Medium Grid 3 - Accent 54"/>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4">
    <w:name w:val="Medium Grid 3 - Accent 64"/>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4">
    <w:name w:val="Medium List 14"/>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4">
    <w:name w:val="Medium List 1 - Accent 14"/>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4">
    <w:name w:val="Medium List 1 - Accent 24"/>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4">
    <w:name w:val="Medium List 1 - Accent 34"/>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4">
    <w:name w:val="Medium List 1 - Accent 44"/>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4">
    <w:name w:val="Medium List 1 - Accent 54"/>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4">
    <w:name w:val="Medium List 1 - Accent 64"/>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4">
    <w:name w:val="Medium List 24"/>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4">
    <w:name w:val="Medium List 2 - Accent 14"/>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4">
    <w:name w:val="Medium List 2 - Accent 24"/>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4">
    <w:name w:val="Medium List 2 - Accent 34"/>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4">
    <w:name w:val="Medium List 2 - Accent 44"/>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4">
    <w:name w:val="Medium List 2 - Accent 54"/>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4">
    <w:name w:val="Medium List 2 - Accent 64"/>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4">
    <w:name w:val="Medium Shading 14"/>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4">
    <w:name w:val="Medium Shading 1 - Accent 14"/>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4">
    <w:name w:val="Medium Shading 1 - Accent 24"/>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4">
    <w:name w:val="Medium Shading 1 - Accent 34"/>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4">
    <w:name w:val="Medium Shading 1 - Accent 44"/>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4">
    <w:name w:val="Medium Shading 1 - Accent 54"/>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4">
    <w:name w:val="Medium Shading 1 - Accent 64"/>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4">
    <w:name w:val="Medium Shading 24"/>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4">
    <w:name w:val="Medium Shading 2 - Accent 14"/>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4">
    <w:name w:val="Medium Shading 2 - Accent 24"/>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4">
    <w:name w:val="Medium Shading 2 - Accent 34"/>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4">
    <w:name w:val="Medium Shading 2 - Accent 44"/>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4">
    <w:name w:val="Medium Shading 2 - Accent 54"/>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4">
    <w:name w:val="Medium Shading 2 - Accent 64"/>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4">
    <w:name w:val="Plain Table 14"/>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4">
    <w:name w:val="Plain Table 24"/>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4">
    <w:name w:val="Plain Table 34"/>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4">
    <w:name w:val="Plain Table 44"/>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4">
    <w:name w:val="Plain Table 54"/>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4">
    <w:name w:val="Table 3D effects 14"/>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4">
    <w:name w:val="Table 3D effects 24"/>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4">
    <w:name w:val="Table 3D effects 34"/>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4">
    <w:name w:val="Table Classic 14"/>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4">
    <w:name w:val="Table Classic 24"/>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4">
    <w:name w:val="Table Classic 34"/>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4">
    <w:name w:val="Table Classic 44"/>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4">
    <w:name w:val="Table Colorful 14"/>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4">
    <w:name w:val="Table Colorful 24"/>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4">
    <w:name w:val="Table Colorful 34"/>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4">
    <w:name w:val="Table Columns 14"/>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4">
    <w:name w:val="Table Columns 24"/>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4">
    <w:name w:val="Table Columns 34"/>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4">
    <w:name w:val="Table Columns 44"/>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4">
    <w:name w:val="Table Columns 54"/>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4">
    <w:name w:val="Table Contemporary4"/>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4">
    <w:name w:val="Table Elegant4"/>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4">
    <w:name w:val="Table Grid 14"/>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4">
    <w:name w:val="Table Grid 24"/>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4">
    <w:name w:val="Table Grid 34"/>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4">
    <w:name w:val="Table Grid 44"/>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4">
    <w:name w:val="Table Grid 54"/>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4">
    <w:name w:val="Table Grid 64"/>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4">
    <w:name w:val="Table Grid 74"/>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4">
    <w:name w:val="Table Grid 84"/>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5">
    <w:name w:val="Table Grid Light5"/>
    <w:basedOn w:val="TableNormal"/>
    <w:next w:val="TableGridLight"/>
    <w:uiPriority w:val="99"/>
    <w:rsid w:val="00606190"/>
    <w:pPr>
      <w:spacing w:after="0" w:line="240" w:lineRule="auto"/>
    </w:pPr>
    <w:tblPr/>
    <w:trPr>
      <w:hidden/>
    </w:trPr>
  </w:style>
  <w:style w:type="table" w:customStyle="1" w:styleId="TableList14">
    <w:name w:val="Table List 14"/>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4">
    <w:name w:val="Table List 24"/>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4">
    <w:name w:val="Table List 34"/>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4">
    <w:name w:val="Table List 44"/>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4">
    <w:name w:val="Table List 54"/>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4">
    <w:name w:val="Table List 64"/>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4">
    <w:name w:val="Table List 74"/>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4">
    <w:name w:val="Table List 84"/>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4">
    <w:name w:val="Table Professional4"/>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4">
    <w:name w:val="Table Simple 14"/>
    <w:basedOn w:val="TableNormal"/>
    <w:next w:val="TableSimple1"/>
    <w:uiPriority w:val="99"/>
    <w:semiHidden/>
    <w:unhideWhenUsed/>
    <w:rsid w:val="00606190"/>
    <w:pPr>
      <w:spacing w:after="0" w:line="240" w:lineRule="auto"/>
    </w:pPr>
    <w:tblPr/>
    <w:trPr>
      <w:hidden/>
    </w:trPr>
  </w:style>
  <w:style w:type="table" w:customStyle="1" w:styleId="TableSimple24">
    <w:name w:val="Table Simple 24"/>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4">
    <w:name w:val="Table Simple 34"/>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4">
    <w:name w:val="Table Subtle 14"/>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4">
    <w:name w:val="Table Subtle 24"/>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4">
    <w:name w:val="Table Theme4"/>
    <w:basedOn w:val="TableNormal"/>
    <w:next w:val="TableTheme"/>
    <w:uiPriority w:val="99"/>
    <w:semiHidden/>
    <w:unhideWhenUsed/>
    <w:rsid w:val="00606190"/>
    <w:pPr>
      <w:spacing w:after="0" w:line="240" w:lineRule="auto"/>
    </w:pPr>
    <w:tblPr/>
    <w:trPr>
      <w:hidden/>
    </w:trPr>
  </w:style>
  <w:style w:type="table" w:customStyle="1" w:styleId="TableWeb14">
    <w:name w:val="Table Web 14"/>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4">
    <w:name w:val="Table Web 24"/>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4">
    <w:name w:val="Table Web 34"/>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3">
    <w:name w:val="ERMNumLIst3"/>
    <w:uiPriority w:val="99"/>
    <w:rsid w:val="00606190"/>
    <w:pPr>
      <w:numPr>
        <w:numId w:val="16"/>
      </w:numPr>
    </w:pPr>
  </w:style>
  <w:style w:type="numbering" w:customStyle="1" w:styleId="ERMBulletList3">
    <w:name w:val="ERMBulletList3"/>
    <w:uiPriority w:val="99"/>
    <w:rsid w:val="00606190"/>
    <w:pPr>
      <w:numPr>
        <w:numId w:val="17"/>
      </w:numPr>
    </w:pPr>
  </w:style>
  <w:style w:type="numbering" w:customStyle="1" w:styleId="ERMBulletList113">
    <w:name w:val="ERMBulletList113"/>
    <w:uiPriority w:val="99"/>
    <w:rsid w:val="00606190"/>
    <w:pPr>
      <w:numPr>
        <w:numId w:val="18"/>
      </w:numPr>
    </w:pPr>
  </w:style>
  <w:style w:type="table" w:customStyle="1" w:styleId="15">
    <w:name w:val="网格型刘15"/>
    <w:basedOn w:val="TableNormal"/>
    <w:next w:val="TableGrid"/>
    <w:uiPriority w:val="39"/>
    <w:rsid w:val="00606190"/>
    <w:pPr>
      <w:spacing w:after="0" w:line="240" w:lineRule="auto"/>
    </w:pPr>
    <w:rPr>
      <w:sz w:val="20"/>
      <w:lang w:val="en-GB"/>
    </w:rPr>
    <w:tblPr/>
    <w:trPr>
      <w:hidden/>
    </w:trPr>
  </w:style>
  <w:style w:type="paragraph" w:customStyle="1" w:styleId="Bullets">
    <w:name w:val="Bullets"/>
    <w:basedOn w:val="Normal"/>
    <w:rsid w:val="00413182"/>
    <w:pPr>
      <w:numPr>
        <w:numId w:val="23"/>
      </w:numPr>
      <w:spacing w:before="240" w:after="240" w:line="300" w:lineRule="atLeast"/>
      <w:contextualSpacing/>
    </w:pPr>
    <w:rPr>
      <w:rFonts w:ascii="Segoe UI" w:eastAsia="Times New Roman" w:hAnsi="Segoe UI" w:cs="Segoe UI"/>
      <w:kern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725299478">
      <w:bodyDiv w:val="1"/>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048190890">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5.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6.jpeg"/><Relationship Id="rId33" Type="http://schemas.openxmlformats.org/officeDocument/2006/relationships/image" Target="media/image14.png"/><Relationship Id="rId38" Type="http://schemas.openxmlformats.org/officeDocument/2006/relationships/glossaryDocument" Target="glossary/document.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footer" Target="footer4.xml"/><Relationship Id="rId28" Type="http://schemas.openxmlformats.org/officeDocument/2006/relationships/image" Target="media/image9.png"/><Relationship Id="rId36" Type="http://schemas.openxmlformats.org/officeDocument/2006/relationships/footer" Target="footer5.xml"/><Relationship Id="rId10" Type="http://schemas.openxmlformats.org/officeDocument/2006/relationships/webSettings" Target="webSettings.xml"/><Relationship Id="rId19" Type="http://schemas.openxmlformats.org/officeDocument/2006/relationships/header" Target="header4.xml"/><Relationship Id="rId31" Type="http://schemas.openxmlformats.org/officeDocument/2006/relationships/image" Target="media/image12.jpe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styles" Target="styles.xml"/><Relationship Id="rId3"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A07024"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A07024" w:rsidP="00B451A7">
          <w:pPr>
            <w:pStyle w:val="DBFF87765BFC4B6CA8908255261AF4DD"/>
          </w:pPr>
          <w:r>
            <w:t xml:space="preserve"> </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A07024">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A07024">
          <w:pPr>
            <w:pStyle w:val="DNVGL-Hidden"/>
          </w:pPr>
          <w:r>
            <w:t xml:space="preserve">Easy way to replace picture: </w:t>
          </w:r>
        </w:p>
        <w:p w:rsidR="00B764E0" w:rsidRDefault="00A07024" w:rsidP="00B451A7">
          <w:pPr>
            <w:pStyle w:val="BA8504C1A8A24AD7B1D14B5FAE6597CD"/>
          </w:pPr>
          <w:r>
            <w:t>Double-click on the picture, right-click, select “Change Picture”…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Neue">
    <w:altName w:val="Sylfaen"/>
    <w:charset w:val="00"/>
    <w:family w:val="auto"/>
    <w:pitch w:val="variable"/>
    <w:sig w:usb0="E50002FF" w:usb1="500079DB" w:usb2="0000001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1DBD"/>
    <w:rsid w:val="00007409"/>
    <w:rsid w:val="00055460"/>
    <w:rsid w:val="00063114"/>
    <w:rsid w:val="001063B0"/>
    <w:rsid w:val="001337DD"/>
    <w:rsid w:val="0015434B"/>
    <w:rsid w:val="00172EC6"/>
    <w:rsid w:val="0017342E"/>
    <w:rsid w:val="001C5612"/>
    <w:rsid w:val="001F22E4"/>
    <w:rsid w:val="00220BC5"/>
    <w:rsid w:val="002410EF"/>
    <w:rsid w:val="00245E63"/>
    <w:rsid w:val="00250818"/>
    <w:rsid w:val="00277DCD"/>
    <w:rsid w:val="002B5D55"/>
    <w:rsid w:val="002D34FA"/>
    <w:rsid w:val="002D6F40"/>
    <w:rsid w:val="002E0488"/>
    <w:rsid w:val="00311685"/>
    <w:rsid w:val="0037660E"/>
    <w:rsid w:val="00392C1F"/>
    <w:rsid w:val="003A4216"/>
    <w:rsid w:val="003B6C7C"/>
    <w:rsid w:val="003F49C7"/>
    <w:rsid w:val="00412AD0"/>
    <w:rsid w:val="004714AC"/>
    <w:rsid w:val="004B31D9"/>
    <w:rsid w:val="004B7802"/>
    <w:rsid w:val="004D43F9"/>
    <w:rsid w:val="00527E1F"/>
    <w:rsid w:val="00543DBB"/>
    <w:rsid w:val="0057704B"/>
    <w:rsid w:val="005774EC"/>
    <w:rsid w:val="00590C97"/>
    <w:rsid w:val="0059493D"/>
    <w:rsid w:val="005D6D9C"/>
    <w:rsid w:val="00602224"/>
    <w:rsid w:val="00606E37"/>
    <w:rsid w:val="0062583A"/>
    <w:rsid w:val="00635748"/>
    <w:rsid w:val="006375B2"/>
    <w:rsid w:val="0069368D"/>
    <w:rsid w:val="006A48E3"/>
    <w:rsid w:val="006B3BF8"/>
    <w:rsid w:val="006C7AB3"/>
    <w:rsid w:val="007103B1"/>
    <w:rsid w:val="0075651F"/>
    <w:rsid w:val="0076116C"/>
    <w:rsid w:val="007A4D47"/>
    <w:rsid w:val="007E30CE"/>
    <w:rsid w:val="00812A75"/>
    <w:rsid w:val="00820A96"/>
    <w:rsid w:val="008E3EFF"/>
    <w:rsid w:val="00930C04"/>
    <w:rsid w:val="00967533"/>
    <w:rsid w:val="00973C99"/>
    <w:rsid w:val="009D08A2"/>
    <w:rsid w:val="00A07024"/>
    <w:rsid w:val="00A16887"/>
    <w:rsid w:val="00A51E13"/>
    <w:rsid w:val="00A53F9A"/>
    <w:rsid w:val="00A72B1F"/>
    <w:rsid w:val="00A9311D"/>
    <w:rsid w:val="00AA7C06"/>
    <w:rsid w:val="00AF3F49"/>
    <w:rsid w:val="00B14430"/>
    <w:rsid w:val="00B451A7"/>
    <w:rsid w:val="00B764E0"/>
    <w:rsid w:val="00BC19DA"/>
    <w:rsid w:val="00BD398C"/>
    <w:rsid w:val="00C244E5"/>
    <w:rsid w:val="00C3131F"/>
    <w:rsid w:val="00D55BC1"/>
    <w:rsid w:val="00D71A9B"/>
    <w:rsid w:val="00DB7AA6"/>
    <w:rsid w:val="00DE6B60"/>
    <w:rsid w:val="00E00490"/>
    <w:rsid w:val="00E041EF"/>
    <w:rsid w:val="00E511E2"/>
    <w:rsid w:val="00E94050"/>
    <w:rsid w:val="00EA5A5E"/>
    <w:rsid w:val="00EB29C5"/>
    <w:rsid w:val="00F42CFE"/>
    <w:rsid w:val="00F5638B"/>
    <w:rsid w:val="00FB6E22"/>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4:docId w14:val="7A5427A5"/>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B14430"/>
    <w:rPr>
      <w:noProof/>
      <w:vanish/>
      <w:color w:val="808080"/>
      <w:lang w:val="en-GB"/>
    </w:rPr>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BA8504C1A8A24AD7B1D14B5FAE6597CD">
    <w:name w:val="BA8504C1A8A24AD7B1D14B5FAE6597CD"/>
    <w:rsid w:val="00B451A7"/>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Tag name="dgCompanyName01"/>
  <Tag name="DpProjName01">Dunarea East Wind Farm</Tag>
  <Tag name="DgReportTitle01">International Environmental and Social Impact Assessment (ESIA) – Non Technical Summary (NTS)</Tag>
  <Tag name="DgCustomer01">Midmar Callatis S.R.L., </Tag>
  <Tag name="DgDnvReportNo01">10587683-R-07</Tag>
  <Tag name="DgRevNo01">B</Tag>
  <Tag name="DgDNVDocNo01">10587683-R-07-B</Tag>
  <Tag name="DgDocDate01">13-05-2026</Tag>
  <Tag name="DgDnvDivision01">Energy Systems</Tag>
  <Tag name="DgDnvSubDivLong01">Risk - Italy - 2530</Tag>
  <Tag name="DgDnvOfficePost01">Via Energy Park  Vimercate  20871
Italy</Tag>
  <Tag name="DgDnvTelephone01">+39039 689 9905</Tag>
  <Tag name="DgDnvEnterpriseNo01">07013490961</Tag>
  <Tag name="DgCustomerAddress01">11A Aksakov Street, floor 4, Office 2    1000 Sofia, Sredets region 1000
Bulgaria</Tag>
  <Tag name="DgContactPerson01">Romario Zoga</Tag>
  <Tag name="DpProjNo01">10587683</Tag>
  <Tag name="DgDnvSubDivShort01">Risk - Italy - 2530</Tag>
  <Tag name="DgAuthorName01">Chiara Gabba</Tag>
  <Tag name="DgAuthorTitle01">Environmental Scientist</Tag>
  <Tag name="DgVerifier01">Alice Wong</Tag>
  <Tag name="DgVerifierTitle01">Senior ESG Consultant</Tag>
  <Tag name="DgApprovedBy01">Kenza Chraibi</Tag>
  <Tag name="DgApprovedByTitle01">Head of Risk Management. Southern Europe </Tag>
  <Tag name="DnvDateDistib"/>
  <Tag name="eFormsAipLabel"/>
</root>
</file>

<file path=customXml/item5.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89F751-CFAA-4A68-8F81-1159AB5A602F}">
  <ds:schemaRefs>
    <ds:schemaRef ds:uri="http://schemas.openxmlformats.org/officeDocument/2006/bibliography"/>
  </ds:schemaRefs>
</ds:datastoreItem>
</file>

<file path=customXml/itemProps2.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customXml/itemProps3.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4.xml><?xml version="1.0" encoding="utf-8"?>
<ds:datastoreItem xmlns:ds="http://schemas.openxmlformats.org/officeDocument/2006/customXml" ds:itemID="{82B054B6-99F0-4A50-AC18-8607AD77D09E}">
  <ds:schemaRefs/>
</ds:datastoreItem>
</file>

<file path=customXml/itemProps5.xml><?xml version="1.0" encoding="utf-8"?>
<ds:datastoreItem xmlns:ds="http://schemas.openxmlformats.org/officeDocument/2006/customXml" ds:itemID="{37CC8CED-DB93-417D-925D-2EEBFBA067E7}"/>
</file>

<file path=docMetadata/LabelInfo.xml><?xml version="1.0" encoding="utf-8"?>
<clbl:labelList xmlns:clbl="http://schemas.microsoft.com/office/2020/mipLabelMetadata">
  <clbl:label id="{48141450-2387-4aca-b41f-19cd6be9dd3c}" enabled="1" method="Standar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2</TotalTime>
  <Pages>30</Pages>
  <Words>7165</Words>
  <Characters>44854</Characters>
  <Application>Microsoft Office Word</Application>
  <DocSecurity>0</DocSecurity>
  <Lines>1245</Lines>
  <Paragraphs>500</Paragraphs>
  <ScaleCrop>false</ScaleCrop>
  <Company/>
  <LinksUpToDate>false</LinksUpToDate>
  <CharactersWithSpaces>51519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Gabba, Chiara</dc:creator>
  <cp:keywords/>
  <cp:lastModifiedBy>Emilia Cojoc</cp:lastModifiedBy>
  <cp:revision>210</cp:revision>
  <cp:lastPrinted>2026-05-13T17:16:00Z</cp:lastPrinted>
  <dcterms:created xsi:type="dcterms:W3CDTF">2026-05-12T12:33:00Z</dcterms:created>
  <dcterms:modified xsi:type="dcterms:W3CDTF">2026-05-14T12:31:00Z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en</vt:lpwstr>
  </property>
  <property fmtid="{D5CDD505-2E9C-101B-9397-08002B2CF9AE}" pid="16" name="j58bd6c1a5e04739961ec993afce87a7">
    <vt:lpwstr/>
  </property>
  <property fmtid="{D5CDD505-2E9C-101B-9397-08002B2CF9AE}" pid="17" name="Record_x0020_Status">
    <vt:lpwstr/>
  </property>
  <property fmtid="{D5CDD505-2E9C-101B-9397-08002B2CF9AE}" pid="18" name="Record Status">
    <vt:lpwstr/>
  </property>
</Properties>
</file>